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cs="宋体"/>
          <w:color w:val="FF0000"/>
        </w:rPr>
        <w:t xml:space="preserve">   </w: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 w:cs="方正小标宋简体"/>
                                <w:sz w:val="44"/>
                                <w:szCs w:val="44"/>
                              </w:rPr>
                              <w:t>微观经济学本科课程教学大纲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35.6pt;margin-top:-25pt;height:72pt;width:515.4pt;z-index:251657216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MvI2fVAAAA&#10;CgEAAA8AAAAAAAAAAQAgAAAAIgAAAGRycy9kb3ducmV2LnhtbFBLAQIUABQAAAAIAIdO4kDNxpQm&#10;5wEAAL8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 w:cs="方正小标宋简体"/>
                          <w:sz w:val="44"/>
                          <w:szCs w:val="44"/>
                        </w:rPr>
                        <w:t>微观经济学本科课程教学大纲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宋体"/>
          <w:color w:val="FF0000"/>
        </w:rPr>
      </w:pPr>
      <w:r>
        <w:rPr>
          <w:rFonts w:ascii="宋体" w:hAnsi="宋体" w:cs="宋体"/>
          <w:color w:val="FF0000"/>
        </w:rPr>
        <w:t xml:space="preserve">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9" w:name="_GoBack"/>
      <w:bookmarkEnd w:id="9"/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78740</wp:posOffset>
                </wp:positionV>
                <wp:extent cx="2865120" cy="84582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default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</w:rPr>
                              <w:t>编制人：管豪</w:t>
                            </w: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  <w:lang w:val="en-US" w:eastAsia="zh-CN"/>
                              </w:rPr>
                              <w:t>吴宜勇、林士尧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18.2pt;margin-top:6.2pt;height:66.6pt;width:225.6pt;z-index:251658240;v-text-anchor:middle;mso-width-relative:page;mso-height-relative:page;" filled="f" stroked="f" coordsize="21600,21600" o:gfxdata="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5zO51gAA&#10;AAoBAAAPAAAAAAAAAAEAIAAAACIAAABkcnMvZG93bnJldi54bWxQSwECFAAUAAAACACHTuJAdR9V&#10;nOcBAAC/AwAADgAAAAAAAAABACAAAAAl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default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</w:rPr>
                        <w:t>编制人：管豪</w:t>
                      </w: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  <w:lang w:val="en-US" w:eastAsia="zh-CN"/>
                        </w:rPr>
                        <w:t>吴宜勇、林士尧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</w:rPr>
                              <w:t>开课部门：商学院</w:t>
                            </w:r>
                            <w:r>
                              <w:rPr>
                                <w:rFonts w:ascii="仿宋_GB2312" w:hAnsi="黑体" w:eastAsia="仿宋_GB2312" w:cs="仿宋_GB2312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 w:cs="仿宋_GB2312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ascii="仿宋_GB2312" w:hAnsi="黑体" w:eastAsia="仿宋_GB2312" w:cs="仿宋_GB2312"/>
                                <w:sz w:val="30"/>
                                <w:szCs w:val="30"/>
                              </w:rPr>
                              <w:t xml:space="preserve">2019.6.25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6.8pt;margin-top:3.2pt;height:66.6pt;width:229.8pt;z-index:251658240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Y9xzXUAAAA&#10;CQEAAA8AAAAAAAAAAQAgAAAAIgAAAGRycy9kb3ducmV2LnhtbFBLAQIUABQAAAAIAIdO4kAEnyqM&#10;6AEAAL8DAAAOAAAAAAAAAAEAIAAAACM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</w:rPr>
                        <w:t>开课部门：商学院</w:t>
                      </w:r>
                      <w:r>
                        <w:rPr>
                          <w:rFonts w:ascii="仿宋_GB2312" w:hAnsi="黑体" w:eastAsia="仿宋_GB2312" w:cs="仿宋_GB2312"/>
                          <w:sz w:val="30"/>
                          <w:szCs w:val="30"/>
                        </w:rPr>
                        <w:t xml:space="preserve">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 w:cs="仿宋_GB2312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ascii="仿宋_GB2312" w:hAnsi="黑体" w:eastAsia="仿宋_GB2312" w:cs="仿宋_GB2312"/>
                          <w:sz w:val="30"/>
                          <w:szCs w:val="30"/>
                        </w:rPr>
                        <w:t xml:space="preserve">2019.6.25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/>
          <w:color w:val="FF0000"/>
        </w:rPr>
      </w:pPr>
      <w:r>
        <w:rPr>
          <w:rFonts w:ascii="仿宋_GB2312" w:hAnsi="黑体" w:eastAsia="仿宋_GB2312" w:cs="仿宋_GB2312"/>
          <w:sz w:val="30"/>
          <w:szCs w:val="30"/>
        </w:rPr>
        <w:t xml:space="preserve"> </w:t>
      </w:r>
      <w:r>
        <w:rPr>
          <w:rFonts w:ascii="宋体" w:hAnsi="宋体" w:cs="宋体"/>
          <w:color w:val="FF0000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一、课程基本信息</w:t>
      </w:r>
      <w:bookmarkEnd w:id="0"/>
      <w:bookmarkEnd w:id="1"/>
    </w:p>
    <w:tbl>
      <w:tblPr>
        <w:tblStyle w:val="9"/>
        <w:tblW w:w="95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18501040400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经统专业及管理学类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许晓红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张惠萍、许晓红、吴宜勇、程水红、管豪、蔡颖婕、林士尧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经济数学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《西方经济学》编写组</w:t>
            </w:r>
            <w:r>
              <w:rPr>
                <w:rFonts w:ascii="宋体" w:hAnsi="宋体" w:cs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  <w:szCs w:val="24"/>
              </w:rPr>
              <w:t>西方经济学（上册）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北京：高等教育出版社</w:t>
            </w:r>
            <w:r>
              <w:rPr>
                <w:rFonts w:ascii="宋体" w:hAnsi="宋体" w:cs="宋体"/>
                <w:sz w:val="24"/>
                <w:szCs w:val="24"/>
              </w:rPr>
              <w:t>&amp;</w:t>
            </w:r>
            <w:r>
              <w:rPr>
                <w:rFonts w:hint="eastAsia" w:ascii="宋体" w:hAnsi="宋体" w:cs="宋体"/>
                <w:sz w:val="24"/>
                <w:szCs w:val="24"/>
              </w:rPr>
              <w:t>人民出版社，</w:t>
            </w:r>
            <w:r>
              <w:rPr>
                <w:rFonts w:ascii="宋体" w:hAnsi="宋体" w:cs="宋体"/>
                <w:sz w:val="24"/>
                <w:szCs w:val="24"/>
              </w:rPr>
              <w:t>2012.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cs="宋体"/>
                <w:sz w:val="24"/>
                <w:szCs w:val="24"/>
              </w:rPr>
              <w:t>高鸿业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西方经济学（微观部分·第六版）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2014.</w:t>
            </w:r>
          </w:p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cs="宋体"/>
                <w:sz w:val="24"/>
                <w:szCs w:val="24"/>
              </w:rPr>
              <w:t>王秋石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微观经济学（第四版）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北京：高等教育出版社，</w:t>
            </w:r>
            <w:r>
              <w:rPr>
                <w:rFonts w:ascii="宋体" w:hAnsi="宋体" w:cs="宋体"/>
                <w:sz w:val="24"/>
                <w:szCs w:val="24"/>
              </w:rPr>
              <w:t>2011.</w:t>
            </w:r>
          </w:p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3.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保罗·克鲁格曼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微观经济学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2012.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4.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罗伯特·</w:t>
            </w:r>
            <w:r>
              <w:rPr>
                <w:rFonts w:ascii="宋体" w:hAnsi="宋体" w:cs="宋体"/>
                <w:sz w:val="24"/>
                <w:szCs w:val="24"/>
              </w:rPr>
              <w:t>S</w:t>
            </w:r>
            <w:r>
              <w:rPr>
                <w:rFonts w:hint="eastAsia" w:ascii="宋体" w:hAnsi="宋体" w:cs="宋体"/>
                <w:sz w:val="24"/>
                <w:szCs w:val="24"/>
              </w:rPr>
              <w:t>·平狄克，丹尼尔·</w:t>
            </w:r>
            <w:r>
              <w:rPr>
                <w:rFonts w:ascii="宋体" w:hAnsi="宋体" w:cs="宋体"/>
                <w:sz w:val="24"/>
                <w:szCs w:val="24"/>
              </w:rPr>
              <w:t>L</w:t>
            </w:r>
            <w:r>
              <w:rPr>
                <w:rFonts w:hint="eastAsia" w:ascii="宋体" w:hAnsi="宋体" w:cs="宋体"/>
                <w:sz w:val="24"/>
                <w:szCs w:val="24"/>
              </w:rPr>
              <w:t>·鲁宾费尔德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微观经济学（第八版）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北京：中国人民大学出版社，</w:t>
            </w:r>
            <w:r>
              <w:rPr>
                <w:rFonts w:ascii="宋体" w:cs="宋体"/>
                <w:sz w:val="24"/>
                <w:szCs w:val="24"/>
              </w:rPr>
              <w:t>2013.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高鸿业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西方经济学（微观部分·第六版）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cs="宋体"/>
                <w:sz w:val="24"/>
                <w:szCs w:val="24"/>
              </w:rPr>
              <w:t>2014.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 w:cs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（一）课程具体目标</w:t>
      </w:r>
    </w:p>
    <w:tbl>
      <w:tblPr>
        <w:tblStyle w:val="9"/>
        <w:tblW w:w="9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序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课程具体目标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理解西方经济学的内涵、研究对象，了解西方经济学的发展演进，能以正确的态度对待西方经济学。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熟悉市场经济运行机制和资源优化配置的基本原理，</w:t>
            </w:r>
            <w:r>
              <w:rPr>
                <w:rFonts w:hint="eastAsia" w:ascii="宋体" w:hAnsi="宋体" w:cs="宋体"/>
              </w:rPr>
              <w:t>以及微观经济学理论运用的市场环境，了解市场的局限和政府在市场中的作用。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理解微观经济学中的基本经济理论，了解经济变量之间的联系，政府对微观经济主体激励或约束的经济效应，预测评价政府微观经济政策的影响。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掌握微观经济学中的基本经济理论、分析工具和分析方法，能够做到理论联系实际，运用相关理论分析现实生活中的经济现象或问题。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bCs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（二）课程目标与毕业要求的关系</w:t>
      </w:r>
    </w:p>
    <w:tbl>
      <w:tblPr>
        <w:tblStyle w:val="9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支撑的毕业要求指标点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theme="minorBidi"/>
              </w:rPr>
              <w:t>毕业要求</w:t>
            </w:r>
            <w:r>
              <w:rPr>
                <w:rFonts w:hint="eastAsia" w:ascii="宋体" w:hAnsi="宋体" w:cstheme="minorBidi"/>
                <w:lang w:val="en-US" w:eastAsia="zh-CN"/>
              </w:rPr>
              <w:t>1</w:t>
            </w:r>
            <w:r>
              <w:rPr>
                <w:rFonts w:ascii="宋体" w:hAnsi="宋体" w:cstheme="minorBidi"/>
              </w:rPr>
              <w:t>:</w:t>
            </w:r>
            <w:r>
              <w:rPr>
                <w:rFonts w:hint="eastAsia" w:ascii="宋体" w:hAnsi="宋体" w:eastAsia="宋体" w:cstheme="minorBidi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1.1本专业学生须熟练掌握数学、统计学、经济学等基础学科的理论和方法。</w:t>
            </w: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毕业要求2:知识应用能力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2.1具有国际视野，系统掌握市场营销专业基础知识。具备市场调查与预测、营销策划、销售管理等组织管理问题的敏锐性和判断力，并能够运用市场营销学理论和方法，系统分析、解决企业的营销问题。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spacing w:line="300" w:lineRule="exact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1.1本专业学生须熟练掌握数学、统计学、经济学等基础学科的理论和方法。</w:t>
            </w:r>
          </w:p>
          <w:p>
            <w:pPr>
              <w:spacing w:line="300" w:lineRule="exact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毕业要求5:科学研究能力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400" w:lineRule="exac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5.1掌握文献检索、资料查询的基本方法，具有一定的科学研究能力</w:t>
            </w:r>
          </w:p>
          <w:p>
            <w:pPr>
              <w:spacing w:line="300" w:lineRule="exact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theme="minorBidi"/>
              </w:rPr>
              <w:t>毕业要求</w:t>
            </w:r>
            <w:r>
              <w:rPr>
                <w:rFonts w:ascii="宋体" w:hAnsi="宋体" w:cstheme="minorBidi"/>
              </w:rPr>
              <w:t>2: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theme="minorBidi"/>
              </w:rPr>
              <w:t>毕业要求</w:t>
            </w:r>
            <w:r>
              <w:rPr>
                <w:rFonts w:ascii="宋体" w:hAnsi="宋体" w:cstheme="minorBidi"/>
              </w:rPr>
              <w:t>2: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2.2具有较高的审美情趣、文化品位、人文素养；具有时代精神和较强的人际交往能力；积极乐观地生活，充满责任感地工作。</w:t>
            </w:r>
          </w:p>
          <w:p>
            <w:pPr>
              <w:spacing w:line="300" w:lineRule="exact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_Toc4406547"/>
            <w:bookmarkStart w:id="5" w:name="_Toc2371665"/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theme="minorBidi"/>
              </w:rPr>
              <w:t>毕业要求</w:t>
            </w:r>
            <w:r>
              <w:rPr>
                <w:rFonts w:ascii="宋体" w:hAnsi="宋体" w:cstheme="minorBidi"/>
              </w:rPr>
              <w:t>2: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毕业要求5:科学研究能力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5.3掌握管理、市场营销的定性和定量的研究分析方法。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三、课程教学要求与重难点</w:t>
      </w:r>
    </w:p>
    <w:bookmarkEnd w:id="4"/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75" w:type="dxa"/>
            <w:vAlign w:val="center"/>
          </w:tcPr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导论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理解西方经济学的涵义、西方经济学的研究对象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了解西方经济学的发展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领会西方经济学的研究方法，懂得辩证地看待西方经济学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西方经济学的涵义、研究对象、基本假设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西方经济学的内容体系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正确对待西方经济学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西方经济学的研究对象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2. </w:t>
            </w:r>
            <w:r>
              <w:rPr>
                <w:rFonts w:hint="eastAsia" w:ascii="宋体" w:hAnsi="宋体" w:cs="宋体"/>
              </w:rPr>
              <w:t>西方经济学的发展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正确对待西方经济学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第一章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需求、供给和均衡价格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掌握需求、供给的基本概念及其影响因素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hint="eastAsia" w:ascii="宋体" w:cs="宋体"/>
              </w:rPr>
              <w:t>理解均衡价格的含义、均衡价格的决定及变动的影响因素，以及价格机制对经济调节的条件、作用和方式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hint="eastAsia" w:ascii="宋体" w:cs="宋体"/>
              </w:rPr>
              <w:t>掌握弹性理论的基本内容及实践意义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需求与供给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市场均衡的变动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需求与供给弹性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政府干预的后果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需求的变动与需求量的变动、供给的变动与供给量的变动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市场均衡的变动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需求、供给弹性值的计算及影响因素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第二章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消费者选择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理解基数效用与序数效用的涵义、</w:t>
            </w:r>
            <w:r>
              <w:rPr>
                <w:rFonts w:hint="eastAsia" w:ascii="Times New Roman" w:hAnsi="Times New Roman" w:cs="宋体"/>
              </w:rPr>
              <w:t>无差异曲线和预算线的含义及特点、</w:t>
            </w:r>
            <w:r>
              <w:rPr>
                <w:rFonts w:hint="eastAsia" w:ascii="宋体" w:hAnsi="宋体" w:cs="宋体"/>
              </w:rPr>
              <w:t>边际替代率及递减规律、消费者剩余的涵义</w:t>
            </w:r>
          </w:p>
          <w:p>
            <w:pPr>
              <w:snapToGrid w:val="0"/>
            </w:pPr>
            <w:r>
              <w:rPr>
                <w:rFonts w:ascii="宋体" w:cs="宋体"/>
              </w:rPr>
              <w:t>2.</w:t>
            </w:r>
            <w:r>
              <w:rPr>
                <w:rFonts w:hint="eastAsia" w:ascii="宋体" w:hAnsi="Times New Roman" w:cs="宋体"/>
              </w:rPr>
              <w:t>掌握</w:t>
            </w:r>
            <w:r>
              <w:rPr>
                <w:rFonts w:hint="eastAsia" w:ascii="Times New Roman" w:hAnsi="Times New Roman" w:cs="宋体"/>
              </w:rPr>
              <w:t>消费者均衡的约束条件和均衡条件、替代效应和收入效应的含义，并能对不同类型物品的价格效应进行正确分解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>3.</w:t>
            </w:r>
            <w:r>
              <w:rPr>
                <w:rFonts w:hint="eastAsia" w:ascii="宋体" w:cs="宋体"/>
              </w:rPr>
              <w:t>了解消费者对风险的偏好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无差异曲线的含义及特征、边际替代率及递减规律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预算线的变动、</w:t>
            </w:r>
            <w:r>
              <w:rPr>
                <w:rFonts w:hint="eastAsia" w:ascii="Times New Roman" w:hAnsi="Times New Roman" w:cs="宋体"/>
              </w:rPr>
              <w:t>消费者均衡的原理和条件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收入效应与替代效应的含义及图形分解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消费者剩余及计算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消费者均衡的原理和条件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hint="eastAsia" w:ascii="Times New Roman" w:hAnsi="Times New Roman" w:cs="宋体"/>
              </w:rPr>
              <w:t>收入效应与替代效应的含义及不同物品的价格效应的图形分解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消费者剩余的图示及计算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企业的生产和成本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cs="宋体"/>
              </w:rPr>
              <w:t>了解企业的类型、目标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>2.</w:t>
            </w:r>
            <w:r>
              <w:rPr>
                <w:rFonts w:hint="eastAsia" w:ascii="宋体" w:hAnsi="宋体" w:cs="宋体"/>
              </w:rPr>
              <w:t>理解生产函数的含义、微观经济学中长短期的区分、各种成本之间的关系，以及成本与产量之间的关系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掌握短期生产函数的特征，总产量、平均产量和边际产量相互之间的关系，边际报酬递减规律的含义，以及长期生产函数的特征，等产量曲线、边际技术替代率以及边际技术替代率递减规律的含义，掌握生产成本的一些相关概念、厂商生产均衡的条件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生产函数、边际报酬递减规律、短期生产的三个阶段、等产量曲线、边际技术替代率、规模报酬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机会成本的含义、厂商生产均衡的条件、短期成本的分类、短期成本变动的决定因素、短期产量曲线与短期成本曲线之间的关系、长期平均成本曲线的形状</w:t>
            </w:r>
          </w:p>
        </w:tc>
        <w:tc>
          <w:tcPr>
            <w:tcW w:w="2185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短期生产的三个阶段、边际报酬递减规律、边际技术替代率递减规律、规模报酬与边际报酬的区别</w:t>
            </w:r>
          </w:p>
          <w:p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机会成本含义、厂商生产均衡的条件、短期产量曲线与短期成本曲线之间的关系、长期平均成本曲线的形状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完全竞争市场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掌握完全竞争市场的特征、</w:t>
            </w:r>
            <w:r>
              <w:rPr>
                <w:rFonts w:hint="eastAsia" w:ascii="Times New Roman" w:hAnsi="Times New Roman" w:cs="宋体"/>
              </w:rPr>
              <w:t>厂商实现利润最大化的均衡条件、生产者剩余的含义及计算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Times New Roman" w:hAnsi="Times New Roman" w:cs="宋体"/>
              </w:rPr>
              <w:t>理解完全竞争厂商的需求曲线和收益曲线、完全竞争厂商的短期均衡以及厂商的短期供给曲线、完全竞争行业的短期供给曲线、完全竞争厂商长期均衡的实现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了解市场结构划分的依据，</w:t>
            </w:r>
            <w:r>
              <w:rPr>
                <w:rFonts w:hint="eastAsia" w:ascii="Times New Roman" w:hAnsi="Times New Roman" w:cs="宋体"/>
              </w:rPr>
              <w:t>以及成本不变行业、成本递增行业、成本递减行业的长期供给曲线的形状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完全竞争市场的特征、</w:t>
            </w:r>
            <w:r>
              <w:rPr>
                <w:rFonts w:hint="eastAsia" w:ascii="Times New Roman" w:hAnsi="Times New Roman" w:cs="宋体"/>
              </w:rPr>
              <w:t>厂商实现利润最大化的均衡条件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Times New Roman" w:hAnsi="Times New Roman" w:cs="宋体"/>
              </w:rPr>
              <w:t>生产者剩余的含义及计算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完全竞争</w:t>
            </w:r>
            <w:r>
              <w:rPr>
                <w:rFonts w:hint="eastAsia" w:ascii="Times New Roman" w:hAnsi="Times New Roman" w:cs="宋体"/>
              </w:rPr>
              <w:t>厂商的需求曲线和收益曲线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完全竞争</w:t>
            </w:r>
            <w:r>
              <w:rPr>
                <w:rFonts w:hint="eastAsia" w:ascii="Times New Roman" w:hAnsi="Times New Roman" w:cs="宋体"/>
              </w:rPr>
              <w:t>厂商的短期均衡以及厂商的短期供给曲线、行业的短期供给曲线、厂商长期均衡的条件及实现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结合图形分析厂商的短期均衡以及厂商的短期供给曲线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结合图形分析厂商长期均衡的实现、行业的长期供给曲线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不完全竞争市场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理解各类不完全竞争市场的特征和形成条件、厂商的需求曲线和收益曲线的特点、各类市场的优劣</w:t>
            </w:r>
          </w:p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掌握各类不完全竞争市场上厂商均衡的条件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了解博弈均衡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垄断厂商的短期和长期均衡、价格歧视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垄断竞争厂商的需求曲线、垄断竞争厂商的短期和长期均衡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寡头模型中的古诺模型、斯塔克伯格模型、斯威齐模型</w:t>
            </w:r>
          </w:p>
        </w:tc>
        <w:tc>
          <w:tcPr>
            <w:tcW w:w="2185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垄断厂商的短期和长期均衡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垄断竞争厂商的需求曲线、短期和长期均衡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古诺模型、斯塔克伯格模型、斯威齐模型、价格领导模型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生产要素市场和收入分配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了解生产要素价格决定的数量决定和供给方面的基本含义，了解完全竞争厂商对生产要素的需求曲线，以及卖方垄断对生产要素的需求曲线</w:t>
            </w:r>
          </w:p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理解劳动供给曲线、土地供给曲线和资本供给曲线的基本内容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完全竞争厂商使用生产要素的原则、完全竞争厂商对生产要素的需求曲线、要素供给原则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劳动供给曲线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土地的供给曲线、土地的价格和地租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完全竞争厂商使用生产要素的原则，完全竞争厂商对生产要素的需求曲线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要素供给原则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一般均衡和效率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了解一般均衡的基本含义</w:t>
            </w:r>
          </w:p>
          <w:p>
            <w:pPr>
              <w:snapToGrid w:val="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理解经济效率的含义、公平与效率的关系</w:t>
            </w:r>
          </w:p>
          <w:p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Times New Roman" w:cs="宋体"/>
              </w:rPr>
              <w:t>掌握判断经济效率的标准以及实现经济效率的条件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局部与一般均衡理论</w:t>
            </w:r>
          </w:p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经济效率的含义，交换、生产和产出的帕累托最优标准</w:t>
            </w:r>
          </w:p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完全竞争市场的一般均衡状态、“看不见的手”原理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一般均衡和瓦尔拉斯模型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交换的帕累托最优条件、生产的帕累托最优条件</w:t>
            </w:r>
            <w:r>
              <w:rPr>
                <w:rFonts w:hint="eastAsia" w:asci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产出的帕累托最优条件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第八章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市场失灵和微观经济政策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掌握市场失灵、公共物品、外部性的含义</w:t>
            </w:r>
          </w:p>
          <w:p>
            <w:pPr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理解市场失灵的原因，能</w:t>
            </w:r>
            <w:r>
              <w:rPr>
                <w:rFonts w:hint="eastAsia" w:ascii="宋体" w:hAnsi="Times New Roman" w:cs="宋体"/>
              </w:rPr>
              <w:t>结合图形对市场失灵问题进行分析，能有针对地提出相应的微观经济政策予以治理</w:t>
            </w:r>
          </w:p>
          <w:p>
            <w:pPr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3.</w:t>
            </w:r>
            <w:r>
              <w:rPr>
                <w:rFonts w:hint="eastAsia" w:ascii="宋体" w:hAnsi="Times New Roman" w:cs="宋体"/>
              </w:rPr>
              <w:t>理解公平与效率的关系</w:t>
            </w:r>
          </w:p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Times New Roman" w:cs="宋体"/>
              </w:rPr>
              <w:t>4.</w:t>
            </w:r>
            <w:r>
              <w:rPr>
                <w:rFonts w:hint="eastAsia" w:ascii="宋体" w:hAnsi="Times New Roman" w:cs="宋体"/>
              </w:rPr>
              <w:t>了解市场机制的局限性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垄断与低效率、对垄断的公共管制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外部影响和资源配置失当、公共物品的最优配置、公共物品与市场失灵</w:t>
            </w:r>
          </w:p>
          <w:p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公平与效率的关系</w:t>
            </w:r>
          </w:p>
        </w:tc>
        <w:tc>
          <w:tcPr>
            <w:tcW w:w="2185" w:type="dxa"/>
            <w:vAlign w:val="center"/>
          </w:tcPr>
          <w:p>
            <w:pPr>
              <w:snapToGrid w:val="0"/>
              <w:rPr>
                <w:rFonts w:ascii="宋体" w:hAnsi="Times New Roman"/>
              </w:rPr>
            </w:pPr>
            <w:r>
              <w:rPr>
                <w:rFonts w:ascii="宋体" w:hAnsi="Times New Roman" w:cs="宋体"/>
              </w:rPr>
              <w:t>1.</w:t>
            </w:r>
            <w:r>
              <w:rPr>
                <w:rFonts w:hint="eastAsia" w:ascii="宋体" w:hAnsi="Times New Roman" w:cs="宋体"/>
              </w:rPr>
              <w:t>结合图形理解和分析市场失灵问题</w:t>
            </w:r>
          </w:p>
          <w:p>
            <w:pPr>
              <w:snapToGrid w:val="0"/>
              <w:rPr>
                <w:rFonts w:ascii="宋体"/>
                <w:b/>
                <w:bCs/>
              </w:rPr>
            </w:pPr>
            <w:r>
              <w:rPr>
                <w:rFonts w:ascii="宋体" w:hAnsi="Times New Roman" w:cs="宋体"/>
              </w:rPr>
              <w:t>2.</w:t>
            </w:r>
            <w:r>
              <w:rPr>
                <w:rFonts w:hint="eastAsia" w:ascii="宋体" w:hAnsi="Times New Roman" w:cs="宋体"/>
              </w:rPr>
              <w:t>针对市场失灵问题提出相应的微观经济政策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 w:cs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导论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什么是西方经济学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西方经济学的由来和发展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西方经济学的研究对象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西方经济学的研究方法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怎样学习西方经济学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第一章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需求、供给和均衡价格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1.</w:t>
            </w:r>
            <w:r>
              <w:rPr>
                <w:rFonts w:hint="eastAsia" w:ascii="宋体" w:hAnsi="宋体" w:cs="宋体"/>
              </w:rPr>
              <w:t>需求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供给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市场均衡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弹性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供求分析的应用实例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讲授、课堂训练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第二章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消费者选择</w:t>
            </w: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效用理论概述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无差异曲线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预算约束线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消费者均衡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价格变动的替代效应和收入效应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不确定和风险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第三章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企业的生产和成本</w:t>
            </w: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企业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生产函数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短期生产函数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长期生产函数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短期成本函数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长期成本函数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第四章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完全竞争市场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企业收益、市场结构和利润最大化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完全竞争企业面临的需求曲线和收益曲线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完全竞争企业的短期均衡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完全竞争企业和市场的长期均衡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讲授、课堂训练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第五章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不完全竞争市场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垄断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垄断竞争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寡头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博弈论和策略行为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不同市场的比较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第六章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生产要素市场和收入分配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完全竞争和要素需求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要素供给的一般理论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劳动和工资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土地和地租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资本和利息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垄断与要素使用量和价格的决定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第七章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一般均衡和效率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一般均衡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经济效率和帕累托最优标准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完全竞争和帕累托最优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第八章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市场失灵和微观经济政策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作为市场失灵因素的垄断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公共物品和公共资源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外部性和环境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不完全信息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公平和收入再分配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本章评析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1.5</w:t>
            </w:r>
            <w:r>
              <w:rPr>
                <w:rFonts w:hint="eastAsia" w:ascii="宋体" w:hAnsi="宋体" w:cs="宋体"/>
              </w:rPr>
              <w:t>学时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2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 w:cs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西方经济学的内涵、研究对象、基本假设、公平与效率以及市场失灵等问题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课程目标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不同市场类型的假设前提、市场的长短期均衡问题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/>
              </w:rPr>
            </w:pPr>
            <w:r>
              <w:rPr>
                <w:rFonts w:hint="eastAsia" w:cs="宋体"/>
              </w:rPr>
              <w:t>供求理论、消费者均衡理论、生产成本理论，以及要素与收入分配等基本理论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_Toc4406550"/>
            <w:r>
              <w:rPr>
                <w:rFonts w:hint="eastAsia" w:ascii="宋体" w:hAnsi="宋体" w:cs="宋体"/>
              </w:rPr>
              <w:t>课程目标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</w:pPr>
            <w:r>
              <w:rPr>
                <w:rFonts w:hint="eastAsia" w:cs="宋体"/>
              </w:rPr>
              <w:t>理论联系实际，运用相关理论解释、解决现实问题的能力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六、考核方式与评价细则</w:t>
      </w:r>
    </w:p>
    <w:bookmarkEnd w:id="8"/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平时学生完成作业情况的记录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笔试。题型有选择题、判断题、简答题、计算题、论述题和案例分析题等，考核内容涵盖了所学的基本知识点，不仅考察学生对基本知识点的掌握情况，也考察学生对相关知识和理论的运用能力。</w:t>
            </w:r>
          </w:p>
        </w:tc>
      </w:tr>
      <w:bookmarkEnd w:id="5"/>
    </w:tbl>
    <w:p>
      <w:pPr>
        <w:jc w:val="left"/>
        <w:outlineLvl w:val="0"/>
        <w:rPr>
          <w:rFonts w:ascii="宋体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153A4"/>
    <w:rsid w:val="00036190"/>
    <w:rsid w:val="00037FB8"/>
    <w:rsid w:val="00052533"/>
    <w:rsid w:val="00054AC6"/>
    <w:rsid w:val="0006200A"/>
    <w:rsid w:val="00077437"/>
    <w:rsid w:val="000805F6"/>
    <w:rsid w:val="00080DE0"/>
    <w:rsid w:val="000813EB"/>
    <w:rsid w:val="000844C9"/>
    <w:rsid w:val="000847E8"/>
    <w:rsid w:val="000A7C4A"/>
    <w:rsid w:val="000B3F18"/>
    <w:rsid w:val="000B5C81"/>
    <w:rsid w:val="000C1E27"/>
    <w:rsid w:val="000C7C3F"/>
    <w:rsid w:val="000D6848"/>
    <w:rsid w:val="000E2E2E"/>
    <w:rsid w:val="000E3C21"/>
    <w:rsid w:val="001004F3"/>
    <w:rsid w:val="00112BDB"/>
    <w:rsid w:val="00113B48"/>
    <w:rsid w:val="001221C1"/>
    <w:rsid w:val="0012472A"/>
    <w:rsid w:val="00130CB5"/>
    <w:rsid w:val="00130E78"/>
    <w:rsid w:val="00134FF7"/>
    <w:rsid w:val="00140876"/>
    <w:rsid w:val="00146FC1"/>
    <w:rsid w:val="001471B4"/>
    <w:rsid w:val="0015295D"/>
    <w:rsid w:val="00153336"/>
    <w:rsid w:val="001558E4"/>
    <w:rsid w:val="00162F71"/>
    <w:rsid w:val="00164873"/>
    <w:rsid w:val="00166174"/>
    <w:rsid w:val="00172D13"/>
    <w:rsid w:val="0018031E"/>
    <w:rsid w:val="00180D73"/>
    <w:rsid w:val="00190C68"/>
    <w:rsid w:val="001934C4"/>
    <w:rsid w:val="00193671"/>
    <w:rsid w:val="0019649E"/>
    <w:rsid w:val="00196591"/>
    <w:rsid w:val="001A61F6"/>
    <w:rsid w:val="001A720E"/>
    <w:rsid w:val="001B425E"/>
    <w:rsid w:val="001C36EF"/>
    <w:rsid w:val="001C46E2"/>
    <w:rsid w:val="001C6A8F"/>
    <w:rsid w:val="001D043B"/>
    <w:rsid w:val="001D69AC"/>
    <w:rsid w:val="001E01FE"/>
    <w:rsid w:val="001E3796"/>
    <w:rsid w:val="001E397E"/>
    <w:rsid w:val="001F3C36"/>
    <w:rsid w:val="00200355"/>
    <w:rsid w:val="00200CA7"/>
    <w:rsid w:val="00202BE2"/>
    <w:rsid w:val="00210A57"/>
    <w:rsid w:val="00216BF0"/>
    <w:rsid w:val="002246D5"/>
    <w:rsid w:val="002328FC"/>
    <w:rsid w:val="00243EBA"/>
    <w:rsid w:val="00244104"/>
    <w:rsid w:val="00247319"/>
    <w:rsid w:val="0025194F"/>
    <w:rsid w:val="002544C8"/>
    <w:rsid w:val="00260139"/>
    <w:rsid w:val="00272BE0"/>
    <w:rsid w:val="0027404A"/>
    <w:rsid w:val="00282095"/>
    <w:rsid w:val="00287C7B"/>
    <w:rsid w:val="00291B70"/>
    <w:rsid w:val="002A4CB8"/>
    <w:rsid w:val="002A717D"/>
    <w:rsid w:val="002B0E5E"/>
    <w:rsid w:val="002B4EF7"/>
    <w:rsid w:val="002B5DCE"/>
    <w:rsid w:val="002B5E26"/>
    <w:rsid w:val="002D233C"/>
    <w:rsid w:val="002D3E2A"/>
    <w:rsid w:val="002D542F"/>
    <w:rsid w:val="002E0522"/>
    <w:rsid w:val="002E51ED"/>
    <w:rsid w:val="002E5C76"/>
    <w:rsid w:val="002F10F6"/>
    <w:rsid w:val="002F184E"/>
    <w:rsid w:val="002F1A39"/>
    <w:rsid w:val="002F685A"/>
    <w:rsid w:val="002F6E25"/>
    <w:rsid w:val="003008DF"/>
    <w:rsid w:val="003049D9"/>
    <w:rsid w:val="00304E92"/>
    <w:rsid w:val="003126DF"/>
    <w:rsid w:val="00312B8C"/>
    <w:rsid w:val="0031487B"/>
    <w:rsid w:val="00314F2B"/>
    <w:rsid w:val="00317EFB"/>
    <w:rsid w:val="00322CCB"/>
    <w:rsid w:val="00323D55"/>
    <w:rsid w:val="0033025B"/>
    <w:rsid w:val="00331752"/>
    <w:rsid w:val="00332101"/>
    <w:rsid w:val="003322A3"/>
    <w:rsid w:val="00334505"/>
    <w:rsid w:val="003345C8"/>
    <w:rsid w:val="00334EA5"/>
    <w:rsid w:val="00345234"/>
    <w:rsid w:val="003461AE"/>
    <w:rsid w:val="00347308"/>
    <w:rsid w:val="00350553"/>
    <w:rsid w:val="00350C26"/>
    <w:rsid w:val="003512F0"/>
    <w:rsid w:val="003550F4"/>
    <w:rsid w:val="00356C0D"/>
    <w:rsid w:val="003621BC"/>
    <w:rsid w:val="00366C9F"/>
    <w:rsid w:val="00366F6F"/>
    <w:rsid w:val="003719ED"/>
    <w:rsid w:val="00371B6C"/>
    <w:rsid w:val="00383C2C"/>
    <w:rsid w:val="00383CE9"/>
    <w:rsid w:val="003A0050"/>
    <w:rsid w:val="003A2DF4"/>
    <w:rsid w:val="003A48E9"/>
    <w:rsid w:val="003B0F71"/>
    <w:rsid w:val="003B57BC"/>
    <w:rsid w:val="003B6208"/>
    <w:rsid w:val="003C3248"/>
    <w:rsid w:val="003C4383"/>
    <w:rsid w:val="003C4AF6"/>
    <w:rsid w:val="003C6687"/>
    <w:rsid w:val="003C7C56"/>
    <w:rsid w:val="003D5EE4"/>
    <w:rsid w:val="003D6673"/>
    <w:rsid w:val="003E0CAC"/>
    <w:rsid w:val="003E136A"/>
    <w:rsid w:val="003E6EC8"/>
    <w:rsid w:val="003F49F0"/>
    <w:rsid w:val="003F4F07"/>
    <w:rsid w:val="003F4F79"/>
    <w:rsid w:val="003F67C5"/>
    <w:rsid w:val="004028AA"/>
    <w:rsid w:val="004068E4"/>
    <w:rsid w:val="00415BF1"/>
    <w:rsid w:val="00423702"/>
    <w:rsid w:val="00424777"/>
    <w:rsid w:val="00433FCF"/>
    <w:rsid w:val="00441124"/>
    <w:rsid w:val="00444EC4"/>
    <w:rsid w:val="0045152A"/>
    <w:rsid w:val="00455D27"/>
    <w:rsid w:val="00455E63"/>
    <w:rsid w:val="00456D43"/>
    <w:rsid w:val="00465A76"/>
    <w:rsid w:val="004665B9"/>
    <w:rsid w:val="004702F9"/>
    <w:rsid w:val="00471D9A"/>
    <w:rsid w:val="004917CE"/>
    <w:rsid w:val="00495177"/>
    <w:rsid w:val="004B47A0"/>
    <w:rsid w:val="004B4CD6"/>
    <w:rsid w:val="004B51BD"/>
    <w:rsid w:val="004B7B5C"/>
    <w:rsid w:val="004C0DC6"/>
    <w:rsid w:val="004C23BB"/>
    <w:rsid w:val="004E0070"/>
    <w:rsid w:val="004E31F6"/>
    <w:rsid w:val="004E76AC"/>
    <w:rsid w:val="004E7D33"/>
    <w:rsid w:val="004F08CD"/>
    <w:rsid w:val="004F11D1"/>
    <w:rsid w:val="004F33DA"/>
    <w:rsid w:val="0050422A"/>
    <w:rsid w:val="00522980"/>
    <w:rsid w:val="00524163"/>
    <w:rsid w:val="00524A01"/>
    <w:rsid w:val="005324A1"/>
    <w:rsid w:val="00547A9A"/>
    <w:rsid w:val="0055173F"/>
    <w:rsid w:val="00560B9E"/>
    <w:rsid w:val="00564464"/>
    <w:rsid w:val="00565E2A"/>
    <w:rsid w:val="005774C6"/>
    <w:rsid w:val="00580B0E"/>
    <w:rsid w:val="005A0610"/>
    <w:rsid w:val="005B0077"/>
    <w:rsid w:val="005B4A15"/>
    <w:rsid w:val="005B6285"/>
    <w:rsid w:val="005B62AE"/>
    <w:rsid w:val="005C0683"/>
    <w:rsid w:val="005C31AB"/>
    <w:rsid w:val="005C4B40"/>
    <w:rsid w:val="005C79F8"/>
    <w:rsid w:val="005D100F"/>
    <w:rsid w:val="005D5315"/>
    <w:rsid w:val="005D70EB"/>
    <w:rsid w:val="005E1972"/>
    <w:rsid w:val="005E3BC3"/>
    <w:rsid w:val="005F5AA2"/>
    <w:rsid w:val="00601D66"/>
    <w:rsid w:val="00601F08"/>
    <w:rsid w:val="006047AE"/>
    <w:rsid w:val="00604A29"/>
    <w:rsid w:val="00612B48"/>
    <w:rsid w:val="0062071A"/>
    <w:rsid w:val="00624A41"/>
    <w:rsid w:val="0062581F"/>
    <w:rsid w:val="00627BF6"/>
    <w:rsid w:val="00636675"/>
    <w:rsid w:val="00660D36"/>
    <w:rsid w:val="006625D0"/>
    <w:rsid w:val="00663F9C"/>
    <w:rsid w:val="00665F24"/>
    <w:rsid w:val="00670894"/>
    <w:rsid w:val="00684271"/>
    <w:rsid w:val="006917A8"/>
    <w:rsid w:val="006917E0"/>
    <w:rsid w:val="006A496B"/>
    <w:rsid w:val="006B0650"/>
    <w:rsid w:val="006C064B"/>
    <w:rsid w:val="006C30F5"/>
    <w:rsid w:val="006C364C"/>
    <w:rsid w:val="006D520B"/>
    <w:rsid w:val="006F240A"/>
    <w:rsid w:val="006F317D"/>
    <w:rsid w:val="00701A5A"/>
    <w:rsid w:val="00707982"/>
    <w:rsid w:val="00715BF0"/>
    <w:rsid w:val="0072096E"/>
    <w:rsid w:val="00735181"/>
    <w:rsid w:val="00741A8D"/>
    <w:rsid w:val="00751139"/>
    <w:rsid w:val="00753865"/>
    <w:rsid w:val="0076037F"/>
    <w:rsid w:val="007664AD"/>
    <w:rsid w:val="00767F11"/>
    <w:rsid w:val="00771A97"/>
    <w:rsid w:val="00773C4C"/>
    <w:rsid w:val="0077482C"/>
    <w:rsid w:val="0079077C"/>
    <w:rsid w:val="00792141"/>
    <w:rsid w:val="0079342B"/>
    <w:rsid w:val="007A1602"/>
    <w:rsid w:val="007A1CF2"/>
    <w:rsid w:val="007A486F"/>
    <w:rsid w:val="007B1A1C"/>
    <w:rsid w:val="007B210B"/>
    <w:rsid w:val="007B34C8"/>
    <w:rsid w:val="007B60A0"/>
    <w:rsid w:val="007B6373"/>
    <w:rsid w:val="007C3D95"/>
    <w:rsid w:val="007D158B"/>
    <w:rsid w:val="007D49A5"/>
    <w:rsid w:val="007D4FB9"/>
    <w:rsid w:val="007D7667"/>
    <w:rsid w:val="007E1E48"/>
    <w:rsid w:val="007F238B"/>
    <w:rsid w:val="00802046"/>
    <w:rsid w:val="008023F8"/>
    <w:rsid w:val="0080283E"/>
    <w:rsid w:val="00806134"/>
    <w:rsid w:val="008111D4"/>
    <w:rsid w:val="00813B5D"/>
    <w:rsid w:val="00816C43"/>
    <w:rsid w:val="00817571"/>
    <w:rsid w:val="008208FB"/>
    <w:rsid w:val="00821410"/>
    <w:rsid w:val="008218F7"/>
    <w:rsid w:val="00832CE9"/>
    <w:rsid w:val="00841115"/>
    <w:rsid w:val="008550DA"/>
    <w:rsid w:val="00857496"/>
    <w:rsid w:val="00857D8D"/>
    <w:rsid w:val="00862D20"/>
    <w:rsid w:val="008659D8"/>
    <w:rsid w:val="008700AF"/>
    <w:rsid w:val="00870DED"/>
    <w:rsid w:val="008765CE"/>
    <w:rsid w:val="0088053C"/>
    <w:rsid w:val="00883FCF"/>
    <w:rsid w:val="00885B29"/>
    <w:rsid w:val="00890594"/>
    <w:rsid w:val="00893F1B"/>
    <w:rsid w:val="008A1D24"/>
    <w:rsid w:val="008A5DE0"/>
    <w:rsid w:val="008B68A5"/>
    <w:rsid w:val="008C2640"/>
    <w:rsid w:val="008C54FB"/>
    <w:rsid w:val="008E11F5"/>
    <w:rsid w:val="008E19A9"/>
    <w:rsid w:val="008E4BFB"/>
    <w:rsid w:val="008F3AF5"/>
    <w:rsid w:val="008F7C27"/>
    <w:rsid w:val="009011F7"/>
    <w:rsid w:val="0090431C"/>
    <w:rsid w:val="0091063A"/>
    <w:rsid w:val="009108C5"/>
    <w:rsid w:val="00914D31"/>
    <w:rsid w:val="009220E2"/>
    <w:rsid w:val="00925699"/>
    <w:rsid w:val="00931238"/>
    <w:rsid w:val="00945BD6"/>
    <w:rsid w:val="009521D5"/>
    <w:rsid w:val="00957CE0"/>
    <w:rsid w:val="00976520"/>
    <w:rsid w:val="009904EF"/>
    <w:rsid w:val="00994555"/>
    <w:rsid w:val="009A0368"/>
    <w:rsid w:val="009A1AF5"/>
    <w:rsid w:val="009A682C"/>
    <w:rsid w:val="009A70A4"/>
    <w:rsid w:val="009A793F"/>
    <w:rsid w:val="009C0BD0"/>
    <w:rsid w:val="009C1258"/>
    <w:rsid w:val="009C6B5E"/>
    <w:rsid w:val="009D199A"/>
    <w:rsid w:val="009D3AEA"/>
    <w:rsid w:val="009D7FDF"/>
    <w:rsid w:val="009E0606"/>
    <w:rsid w:val="009E2314"/>
    <w:rsid w:val="009E2AB9"/>
    <w:rsid w:val="009E5D44"/>
    <w:rsid w:val="009E5DC8"/>
    <w:rsid w:val="009E6A67"/>
    <w:rsid w:val="009F465F"/>
    <w:rsid w:val="00A0054F"/>
    <w:rsid w:val="00A009D8"/>
    <w:rsid w:val="00A01839"/>
    <w:rsid w:val="00A0451E"/>
    <w:rsid w:val="00A14474"/>
    <w:rsid w:val="00A15056"/>
    <w:rsid w:val="00A1657C"/>
    <w:rsid w:val="00A23D49"/>
    <w:rsid w:val="00A25F59"/>
    <w:rsid w:val="00A33642"/>
    <w:rsid w:val="00A35C1B"/>
    <w:rsid w:val="00A37E73"/>
    <w:rsid w:val="00A41551"/>
    <w:rsid w:val="00A467F6"/>
    <w:rsid w:val="00A546A2"/>
    <w:rsid w:val="00A63A90"/>
    <w:rsid w:val="00A701B0"/>
    <w:rsid w:val="00A706BA"/>
    <w:rsid w:val="00A74A6C"/>
    <w:rsid w:val="00A8272E"/>
    <w:rsid w:val="00A860F0"/>
    <w:rsid w:val="00A86CCD"/>
    <w:rsid w:val="00A910BF"/>
    <w:rsid w:val="00A92254"/>
    <w:rsid w:val="00A9778E"/>
    <w:rsid w:val="00AA58B9"/>
    <w:rsid w:val="00AA6316"/>
    <w:rsid w:val="00AB706A"/>
    <w:rsid w:val="00AC16CB"/>
    <w:rsid w:val="00AD1F42"/>
    <w:rsid w:val="00AD78AE"/>
    <w:rsid w:val="00AE3638"/>
    <w:rsid w:val="00AF2A6F"/>
    <w:rsid w:val="00AF3FF3"/>
    <w:rsid w:val="00AF7863"/>
    <w:rsid w:val="00B029D2"/>
    <w:rsid w:val="00B045CE"/>
    <w:rsid w:val="00B04E7B"/>
    <w:rsid w:val="00B1086A"/>
    <w:rsid w:val="00B118F1"/>
    <w:rsid w:val="00B13AA3"/>
    <w:rsid w:val="00B162A0"/>
    <w:rsid w:val="00B17FD0"/>
    <w:rsid w:val="00B25F7B"/>
    <w:rsid w:val="00B34F73"/>
    <w:rsid w:val="00B4006A"/>
    <w:rsid w:val="00B40D78"/>
    <w:rsid w:val="00B42D3E"/>
    <w:rsid w:val="00B46041"/>
    <w:rsid w:val="00B475F8"/>
    <w:rsid w:val="00B503F0"/>
    <w:rsid w:val="00B54BF5"/>
    <w:rsid w:val="00B62033"/>
    <w:rsid w:val="00B62B6B"/>
    <w:rsid w:val="00B64980"/>
    <w:rsid w:val="00B6666B"/>
    <w:rsid w:val="00B75A41"/>
    <w:rsid w:val="00B76C04"/>
    <w:rsid w:val="00B827BB"/>
    <w:rsid w:val="00B97F1B"/>
    <w:rsid w:val="00BA4C4E"/>
    <w:rsid w:val="00BC1D69"/>
    <w:rsid w:val="00BC57E7"/>
    <w:rsid w:val="00BC723F"/>
    <w:rsid w:val="00BC78C7"/>
    <w:rsid w:val="00BD396C"/>
    <w:rsid w:val="00BD55E3"/>
    <w:rsid w:val="00BE7E88"/>
    <w:rsid w:val="00BF02F7"/>
    <w:rsid w:val="00BF03AB"/>
    <w:rsid w:val="00C13C9F"/>
    <w:rsid w:val="00C22109"/>
    <w:rsid w:val="00C2216C"/>
    <w:rsid w:val="00C23086"/>
    <w:rsid w:val="00C249CD"/>
    <w:rsid w:val="00C33035"/>
    <w:rsid w:val="00C341A0"/>
    <w:rsid w:val="00C4055A"/>
    <w:rsid w:val="00C43ECF"/>
    <w:rsid w:val="00C4638F"/>
    <w:rsid w:val="00C46E72"/>
    <w:rsid w:val="00C52152"/>
    <w:rsid w:val="00C57FCD"/>
    <w:rsid w:val="00C633EF"/>
    <w:rsid w:val="00C67728"/>
    <w:rsid w:val="00C67E6F"/>
    <w:rsid w:val="00C71C8F"/>
    <w:rsid w:val="00C77D70"/>
    <w:rsid w:val="00C9559C"/>
    <w:rsid w:val="00CA4436"/>
    <w:rsid w:val="00CA4DE4"/>
    <w:rsid w:val="00CA4EC3"/>
    <w:rsid w:val="00CA5CEC"/>
    <w:rsid w:val="00CA6A92"/>
    <w:rsid w:val="00CB35E6"/>
    <w:rsid w:val="00CB3F29"/>
    <w:rsid w:val="00CB665D"/>
    <w:rsid w:val="00CC040C"/>
    <w:rsid w:val="00CC173A"/>
    <w:rsid w:val="00CD462C"/>
    <w:rsid w:val="00CD5844"/>
    <w:rsid w:val="00CD6D95"/>
    <w:rsid w:val="00CE0D7C"/>
    <w:rsid w:val="00CE3A7D"/>
    <w:rsid w:val="00CE49ED"/>
    <w:rsid w:val="00CE766E"/>
    <w:rsid w:val="00CE7FE0"/>
    <w:rsid w:val="00CF12D2"/>
    <w:rsid w:val="00CF2C93"/>
    <w:rsid w:val="00CF4C8A"/>
    <w:rsid w:val="00D03979"/>
    <w:rsid w:val="00D07D36"/>
    <w:rsid w:val="00D10761"/>
    <w:rsid w:val="00D21823"/>
    <w:rsid w:val="00D237E4"/>
    <w:rsid w:val="00D2653D"/>
    <w:rsid w:val="00D269E3"/>
    <w:rsid w:val="00D272D0"/>
    <w:rsid w:val="00D33636"/>
    <w:rsid w:val="00D34BCC"/>
    <w:rsid w:val="00D35ACC"/>
    <w:rsid w:val="00D45D00"/>
    <w:rsid w:val="00D71417"/>
    <w:rsid w:val="00D72D32"/>
    <w:rsid w:val="00D74135"/>
    <w:rsid w:val="00D82085"/>
    <w:rsid w:val="00DA4D05"/>
    <w:rsid w:val="00DA53B6"/>
    <w:rsid w:val="00DB0CC1"/>
    <w:rsid w:val="00DB3370"/>
    <w:rsid w:val="00DC0C90"/>
    <w:rsid w:val="00DC230F"/>
    <w:rsid w:val="00DC5D57"/>
    <w:rsid w:val="00DC7046"/>
    <w:rsid w:val="00DD2F37"/>
    <w:rsid w:val="00DD50F6"/>
    <w:rsid w:val="00DF401D"/>
    <w:rsid w:val="00E01950"/>
    <w:rsid w:val="00E07880"/>
    <w:rsid w:val="00E16E39"/>
    <w:rsid w:val="00E17521"/>
    <w:rsid w:val="00E178ED"/>
    <w:rsid w:val="00E23E19"/>
    <w:rsid w:val="00E34D5C"/>
    <w:rsid w:val="00E40F3F"/>
    <w:rsid w:val="00E4132C"/>
    <w:rsid w:val="00E43604"/>
    <w:rsid w:val="00E46C00"/>
    <w:rsid w:val="00E50C88"/>
    <w:rsid w:val="00E52200"/>
    <w:rsid w:val="00E52340"/>
    <w:rsid w:val="00E61FC2"/>
    <w:rsid w:val="00E6239F"/>
    <w:rsid w:val="00E65070"/>
    <w:rsid w:val="00E72781"/>
    <w:rsid w:val="00E76041"/>
    <w:rsid w:val="00E8545A"/>
    <w:rsid w:val="00E87965"/>
    <w:rsid w:val="00E92610"/>
    <w:rsid w:val="00E946BA"/>
    <w:rsid w:val="00EA212B"/>
    <w:rsid w:val="00EA2622"/>
    <w:rsid w:val="00EA79D8"/>
    <w:rsid w:val="00EB25EE"/>
    <w:rsid w:val="00ED111A"/>
    <w:rsid w:val="00EE1B4B"/>
    <w:rsid w:val="00EE2904"/>
    <w:rsid w:val="00EF1E9D"/>
    <w:rsid w:val="00EF2C58"/>
    <w:rsid w:val="00EF724C"/>
    <w:rsid w:val="00F0196D"/>
    <w:rsid w:val="00F03678"/>
    <w:rsid w:val="00F17D67"/>
    <w:rsid w:val="00F30B6D"/>
    <w:rsid w:val="00F4600B"/>
    <w:rsid w:val="00F479B7"/>
    <w:rsid w:val="00F47DF4"/>
    <w:rsid w:val="00F54B7E"/>
    <w:rsid w:val="00F617B5"/>
    <w:rsid w:val="00F66382"/>
    <w:rsid w:val="00F74DD0"/>
    <w:rsid w:val="00F82ABC"/>
    <w:rsid w:val="00F87E3D"/>
    <w:rsid w:val="00F92FC1"/>
    <w:rsid w:val="00F93557"/>
    <w:rsid w:val="00F96800"/>
    <w:rsid w:val="00FA0893"/>
    <w:rsid w:val="00FA4E40"/>
    <w:rsid w:val="00FB1DE7"/>
    <w:rsid w:val="00FB2123"/>
    <w:rsid w:val="00FC0EB0"/>
    <w:rsid w:val="00FC6D9D"/>
    <w:rsid w:val="00FD453B"/>
    <w:rsid w:val="00FD509B"/>
    <w:rsid w:val="00FD64BD"/>
    <w:rsid w:val="00FD79FC"/>
    <w:rsid w:val="00FE1E55"/>
    <w:rsid w:val="00FE391F"/>
    <w:rsid w:val="00FE7D19"/>
    <w:rsid w:val="00FF0257"/>
    <w:rsid w:val="00FF5B65"/>
    <w:rsid w:val="24972A76"/>
    <w:rsid w:val="373B6BAB"/>
    <w:rsid w:val="4ACF2FD3"/>
    <w:rsid w:val="4F3828B8"/>
    <w:rsid w:val="52C63886"/>
    <w:rsid w:val="59E55863"/>
    <w:rsid w:val="5D2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iPriority w:val="99"/>
    <w:rPr>
      <w:rFonts w:ascii="宋体" w:cs="宋体"/>
      <w:sz w:val="18"/>
      <w:szCs w:val="18"/>
    </w:r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annotation subject"/>
    <w:basedOn w:val="3"/>
    <w:next w:val="3"/>
    <w:link w:val="18"/>
    <w:semiHidden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uiPriority w:val="99"/>
    <w:rPr>
      <w:color w:val="0000FF"/>
      <w:u w:val="single"/>
    </w:rPr>
  </w:style>
  <w:style w:type="character" w:styleId="13">
    <w:name w:val="annotation reference"/>
    <w:basedOn w:val="11"/>
    <w:semiHidden/>
    <w:uiPriority w:val="99"/>
    <w:rPr>
      <w:sz w:val="21"/>
      <w:szCs w:val="21"/>
    </w:rPr>
  </w:style>
  <w:style w:type="character" w:customStyle="1" w:styleId="14">
    <w:name w:val="頁首 字元"/>
    <w:basedOn w:val="11"/>
    <w:link w:val="6"/>
    <w:locked/>
    <w:uiPriority w:val="99"/>
    <w:rPr>
      <w:sz w:val="18"/>
      <w:szCs w:val="18"/>
    </w:rPr>
  </w:style>
  <w:style w:type="character" w:customStyle="1" w:styleId="15">
    <w:name w:val="頁尾 字元"/>
    <w:basedOn w:val="11"/>
    <w:link w:val="5"/>
    <w:locked/>
    <w:uiPriority w:val="99"/>
    <w:rPr>
      <w:sz w:val="18"/>
      <w:szCs w:val="18"/>
    </w:rPr>
  </w:style>
  <w:style w:type="character" w:customStyle="1" w:styleId="16">
    <w:name w:val="註解方塊文字 字元"/>
    <w:basedOn w:val="11"/>
    <w:link w:val="4"/>
    <w:semiHidden/>
    <w:locked/>
    <w:uiPriority w:val="99"/>
    <w:rPr>
      <w:sz w:val="18"/>
      <w:szCs w:val="18"/>
    </w:rPr>
  </w:style>
  <w:style w:type="character" w:customStyle="1" w:styleId="17">
    <w:name w:val="註解文字 字元"/>
    <w:basedOn w:val="11"/>
    <w:link w:val="3"/>
    <w:semiHidden/>
    <w:locked/>
    <w:uiPriority w:val="99"/>
  </w:style>
  <w:style w:type="character" w:customStyle="1" w:styleId="18">
    <w:name w:val="註解主旨 字元"/>
    <w:basedOn w:val="17"/>
    <w:link w:val="8"/>
    <w:semiHidden/>
    <w:locked/>
    <w:uiPriority w:val="99"/>
    <w:rPr>
      <w:b/>
      <w:bCs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文件引導模式 字元"/>
    <w:basedOn w:val="11"/>
    <w:link w:val="2"/>
    <w:semiHidden/>
    <w:locked/>
    <w:uiPriority w:val="99"/>
    <w:rPr>
      <w:rFonts w:ascii="宋体" w:eastAsia="宋体" w:cs="宋体"/>
      <w:sz w:val="18"/>
      <w:szCs w:val="18"/>
    </w:rPr>
  </w:style>
  <w:style w:type="paragraph" w:customStyle="1" w:styleId="21">
    <w:name w:val="样式2"/>
    <w:basedOn w:val="1"/>
    <w:uiPriority w:val="99"/>
    <w:pPr>
      <w:spacing w:line="400" w:lineRule="exact"/>
      <w:ind w:firstLine="480" w:firstLineChars="200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773</Words>
  <Characters>4411</Characters>
  <Lines>36</Lines>
  <Paragraphs>10</Paragraphs>
  <TotalTime>0</TotalTime>
  <ScaleCrop>false</ScaleCrop>
  <LinksUpToDate>false</LinksUpToDate>
  <CharactersWithSpaces>5174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2019-06-26T02:03:00Z</dcterms:created>
  <dc:creator>User</dc:creator>
  <cp:lastModifiedBy>Administrator</cp:lastModifiedBy>
  <cp:lastPrinted>2019-03-21T12:39:00Z</cp:lastPrinted>
  <dcterms:modified xsi:type="dcterms:W3CDTF">2019-11-01T01:42:22Z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