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outlineLvl w:val="0"/>
        <w:rPr>
          <w:rFonts w:ascii="黑体" w:hAnsi="黑体" w:eastAsia="黑体"/>
          <w:sz w:val="30"/>
          <w:szCs w:val="30"/>
        </w:rPr>
      </w:pPr>
      <w:bookmarkStart w:id="0" w:name="_Toc2371663"/>
      <w:bookmarkStart w:id="1" w:name="_Toc4406545"/>
      <w:r>
        <w:rPr>
          <w:rFonts w:ascii="宋体" w:hAnsi="宋体" w:cs="宋体"/>
          <w:color w:val="FF0000"/>
        </w:rPr>
        <w:t xml:space="preserve">   </w:t>
      </w:r>
      <w:r>
        <mc:AlternateContent>
          <mc:Choice Requires="wps">
            <w:drawing>
              <wp:anchor distT="0" distB="0" distL="114300" distR="114300" simplePos="0" relativeHeight="251657216" behindDoc="0" locked="0" layoutInCell="1" allowOverlap="1">
                <wp:simplePos x="0" y="0"/>
                <wp:positionH relativeFrom="column">
                  <wp:posOffset>-452120</wp:posOffset>
                </wp:positionH>
                <wp:positionV relativeFrom="paragraph">
                  <wp:posOffset>-317500</wp:posOffset>
                </wp:positionV>
                <wp:extent cx="6545580" cy="914400"/>
                <wp:effectExtent l="0" t="0" r="0" b="0"/>
                <wp:wrapNone/>
                <wp:docPr id="1" name="矩形 2"/>
                <wp:cNvGraphicFramePr/>
                <a:graphic xmlns:a="http://schemas.openxmlformats.org/drawingml/2006/main">
                  <a:graphicData uri="http://schemas.microsoft.com/office/word/2010/wordprocessingShape">
                    <wps:wsp>
                      <wps:cNvSpPr/>
                      <wps:spPr>
                        <a:xfrm>
                          <a:off x="0" y="0"/>
                          <a:ext cx="6545580" cy="914400"/>
                        </a:xfrm>
                        <a:prstGeom prst="rect">
                          <a:avLst/>
                        </a:prstGeom>
                        <a:noFill/>
                        <a:ln>
                          <a:noFill/>
                        </a:ln>
                        <a:effectLst/>
                      </wps:spPr>
                      <wps:txbx>
                        <w:txbxContent>
                          <w:p>
                            <w:pPr>
                              <w:jc w:val="center"/>
                            </w:pPr>
                            <w:r>
                              <w:rPr>
                                <w:rFonts w:hint="eastAsia" w:ascii="方正小标宋简体" w:eastAsia="方正小标宋简体" w:cs="方正小标宋简体"/>
                                <w:sz w:val="44"/>
                                <w:szCs w:val="44"/>
                              </w:rPr>
                              <w:t>宏观经济学本科课程教学大纲</w:t>
                            </w:r>
                          </w:p>
                        </w:txbxContent>
                      </wps:txbx>
                      <wps:bodyPr anchor="ctr" upright="1"/>
                    </wps:wsp>
                  </a:graphicData>
                </a:graphic>
              </wp:anchor>
            </w:drawing>
          </mc:Choice>
          <mc:Fallback>
            <w:pict>
              <v:rect id="矩形 2" o:spid="_x0000_s1026" o:spt="1" style="position:absolute;left:0pt;margin-left:-35.6pt;margin-top:-25pt;height:72pt;width:515.4pt;z-index:251657216;v-text-anchor:middle;mso-width-relative:page;mso-height-relative:page;" filled="f" stroked="f" coordsize="21600,21600" o:gfxdata="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Uy8jZ9UAAAAKAQAADwAAAAAAAAABACAAAAAiAAAAZHJz&#10;L2Rvd25yZXYueG1sUEsBAhQAFAAAAAgAh07iQIba8amVAQAADgMAAA4AAAAAAAAAAQAgAAAAJAEA&#10;AGRycy9lMm9Eb2MueG1sUEsFBgAAAAAGAAYAWQEAACsFAAAAAA==&#10;">
                <v:fill on="f" focussize="0,0"/>
                <v:stroke on="f"/>
                <v:imagedata o:title=""/>
                <o:lock v:ext="edit" aspectratio="f"/>
                <v:textbox>
                  <w:txbxContent>
                    <w:p>
                      <w:pPr>
                        <w:jc w:val="center"/>
                      </w:pPr>
                      <w:r>
                        <w:rPr>
                          <w:rFonts w:hint="eastAsia" w:ascii="方正小标宋简体" w:eastAsia="方正小标宋简体" w:cs="方正小标宋简体"/>
                          <w:sz w:val="44"/>
                          <w:szCs w:val="44"/>
                        </w:rPr>
                        <w:t>宏观经济学本科课程教学大纲</w:t>
                      </w:r>
                    </w:p>
                  </w:txbxContent>
                </v:textbox>
              </v:rect>
            </w:pict>
          </mc:Fallback>
        </mc:AlternateContent>
      </w:r>
    </w:p>
    <w:p>
      <w:pPr>
        <w:jc w:val="left"/>
        <w:outlineLvl w:val="0"/>
        <w:rPr>
          <w:rFonts w:ascii="宋体"/>
          <w:color w:val="FF0000"/>
        </w:rPr>
      </w:pPr>
      <w:r>
        <w:rPr>
          <w:rFonts w:ascii="宋体" w:hAnsi="宋体" w:cs="宋体"/>
          <w:color w:val="FF0000"/>
        </w:rPr>
        <w:t xml:space="preserve">  </w:t>
      </w:r>
    </w:p>
    <w:p>
      <w:pPr>
        <w:spacing w:line="360" w:lineRule="auto"/>
        <w:jc w:val="left"/>
        <w:outlineLvl w:val="0"/>
        <w:rPr>
          <w:rFonts w:ascii="仿宋_GB2312" w:hAnsi="黑体" w:eastAsia="仿宋_GB2312"/>
          <w:sz w:val="30"/>
          <w:szCs w:val="30"/>
        </w:rPr>
      </w:pPr>
      <w:bookmarkStart w:id="9" w:name="_GoBack"/>
      <w:bookmarkEnd w:id="9"/>
      <w:r>
        <mc:AlternateContent>
          <mc:Choice Requires="wps">
            <w:drawing>
              <wp:anchor distT="0" distB="0" distL="114300" distR="114300" simplePos="0" relativeHeight="251658240" behindDoc="0" locked="0" layoutInCell="1" allowOverlap="1">
                <wp:simplePos x="0" y="0"/>
                <wp:positionH relativeFrom="column">
                  <wp:posOffset>2561590</wp:posOffset>
                </wp:positionH>
                <wp:positionV relativeFrom="paragraph">
                  <wp:posOffset>40640</wp:posOffset>
                </wp:positionV>
                <wp:extent cx="3227070" cy="845820"/>
                <wp:effectExtent l="0" t="0" r="0" b="0"/>
                <wp:wrapNone/>
                <wp:docPr id="2" name="矩形 3"/>
                <wp:cNvGraphicFramePr/>
                <a:graphic xmlns:a="http://schemas.openxmlformats.org/drawingml/2006/main">
                  <a:graphicData uri="http://schemas.microsoft.com/office/word/2010/wordprocessingShape">
                    <wps:wsp>
                      <wps:cNvSpPr/>
                      <wps:spPr>
                        <a:xfrm>
                          <a:off x="0" y="0"/>
                          <a:ext cx="3227070" cy="845820"/>
                        </a:xfrm>
                        <a:prstGeom prst="rect">
                          <a:avLst/>
                        </a:prstGeom>
                        <a:noFill/>
                        <a:ln>
                          <a:noFill/>
                        </a:ln>
                        <a:effectLst/>
                      </wps:spPr>
                      <wps:txbx>
                        <w:txbxContent>
                          <w:p>
                            <w:pPr>
                              <w:spacing w:line="360" w:lineRule="auto"/>
                              <w:jc w:val="left"/>
                              <w:outlineLvl w:val="0"/>
                              <w:rPr>
                                <w:rFonts w:ascii="仿宋_GB2312" w:hAnsi="黑体" w:eastAsia="仿宋_GB2312"/>
                                <w:sz w:val="30"/>
                                <w:szCs w:val="30"/>
                              </w:rPr>
                            </w:pPr>
                            <w:r>
                              <w:rPr>
                                <w:rFonts w:hint="eastAsia" w:ascii="仿宋_GB2312" w:hAnsi="黑体" w:eastAsia="仿宋_GB2312" w:cs="仿宋_GB2312"/>
                                <w:sz w:val="30"/>
                                <w:szCs w:val="30"/>
                              </w:rPr>
                              <w:t>编制人：许晓红、程水红、蔡颖婕</w:t>
                            </w:r>
                          </w:p>
                          <w:p>
                            <w:pPr>
                              <w:spacing w:line="360" w:lineRule="auto"/>
                              <w:jc w:val="left"/>
                              <w:outlineLvl w:val="0"/>
                              <w:rPr>
                                <w:rFonts w:ascii="仿宋_GB2312" w:hAnsi="黑体" w:eastAsia="仿宋_GB2312"/>
                                <w:sz w:val="30"/>
                                <w:szCs w:val="30"/>
                              </w:rPr>
                            </w:pPr>
                            <w:r>
                              <w:rPr>
                                <w:rFonts w:hint="eastAsia" w:ascii="仿宋_GB2312" w:hAnsi="黑体" w:eastAsia="仿宋_GB2312" w:cs="仿宋_GB2312"/>
                                <w:sz w:val="30"/>
                                <w:szCs w:val="30"/>
                              </w:rPr>
                              <w:t>审定人：</w:t>
                            </w:r>
                            <w:r>
                              <w:rPr>
                                <w:rFonts w:hint="eastAsia" w:ascii="仿宋_GB2312" w:hAnsi="黑体" w:eastAsia="仿宋_GB2312"/>
                                <w:sz w:val="30"/>
                                <w:szCs w:val="30"/>
                                <w:lang w:eastAsia="zh-CN"/>
                              </w:rPr>
                              <w:t>巫月娥</w:t>
                            </w:r>
                          </w:p>
                          <w:p/>
                        </w:txbxContent>
                      </wps:txbx>
                      <wps:bodyPr anchor="ctr" upright="1"/>
                    </wps:wsp>
                  </a:graphicData>
                </a:graphic>
              </wp:anchor>
            </w:drawing>
          </mc:Choice>
          <mc:Fallback>
            <w:pict>
              <v:rect id="矩形 3" o:spid="_x0000_s1026" o:spt="1" style="position:absolute;left:0pt;margin-left:201.7pt;margin-top:3.2pt;height:66.6pt;width:254.1pt;z-index:251658240;v-text-anchor:middle;mso-width-relative:page;mso-height-relative:page;" filled="f" stroked="f" coordsize="21600,21600" o:gfxdata="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zUZW09UAAAAJAQAADwAAAAAAAAABACAAAAAiAAAAZHJz&#10;L2Rvd25yZXYueG1sUEsBAhQAFAAAAAgAh07iQCNfdU+VAQAADgMAAA4AAAAAAAAAAQAgAAAAJAEA&#10;AGRycy9lMm9Eb2MueG1sUEsFBgAAAAAGAAYAWQEAACsFAAAAAA==&#10;">
                <v:fill on="f" focussize="0,0"/>
                <v:stroke on="f"/>
                <v:imagedata o:title=""/>
                <o:lock v:ext="edit" aspectratio="f"/>
                <v:textbox>
                  <w:txbxContent>
                    <w:p>
                      <w:pPr>
                        <w:spacing w:line="360" w:lineRule="auto"/>
                        <w:jc w:val="left"/>
                        <w:outlineLvl w:val="0"/>
                        <w:rPr>
                          <w:rFonts w:ascii="仿宋_GB2312" w:hAnsi="黑体" w:eastAsia="仿宋_GB2312"/>
                          <w:sz w:val="30"/>
                          <w:szCs w:val="30"/>
                        </w:rPr>
                      </w:pPr>
                      <w:r>
                        <w:rPr>
                          <w:rFonts w:hint="eastAsia" w:ascii="仿宋_GB2312" w:hAnsi="黑体" w:eastAsia="仿宋_GB2312" w:cs="仿宋_GB2312"/>
                          <w:sz w:val="30"/>
                          <w:szCs w:val="30"/>
                        </w:rPr>
                        <w:t>编制人：许晓红、程水红、蔡颖婕</w:t>
                      </w:r>
                    </w:p>
                    <w:p>
                      <w:pPr>
                        <w:spacing w:line="360" w:lineRule="auto"/>
                        <w:jc w:val="left"/>
                        <w:outlineLvl w:val="0"/>
                        <w:rPr>
                          <w:rFonts w:ascii="仿宋_GB2312" w:hAnsi="黑体" w:eastAsia="仿宋_GB2312"/>
                          <w:sz w:val="30"/>
                          <w:szCs w:val="30"/>
                        </w:rPr>
                      </w:pPr>
                      <w:r>
                        <w:rPr>
                          <w:rFonts w:hint="eastAsia" w:ascii="仿宋_GB2312" w:hAnsi="黑体" w:eastAsia="仿宋_GB2312" w:cs="仿宋_GB2312"/>
                          <w:sz w:val="30"/>
                          <w:szCs w:val="30"/>
                        </w:rPr>
                        <w:t>审定人：</w:t>
                      </w:r>
                      <w:r>
                        <w:rPr>
                          <w:rFonts w:hint="eastAsia" w:ascii="仿宋_GB2312" w:hAnsi="黑体" w:eastAsia="仿宋_GB2312"/>
                          <w:sz w:val="30"/>
                          <w:szCs w:val="30"/>
                          <w:lang w:eastAsia="zh-CN"/>
                        </w:rPr>
                        <w:t>巫月娥</w:t>
                      </w:r>
                    </w:p>
                    <w:p/>
                  </w:txbxContent>
                </v:textbox>
              </v:rect>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-86360</wp:posOffset>
                </wp:positionH>
                <wp:positionV relativeFrom="paragraph">
                  <wp:posOffset>40640</wp:posOffset>
                </wp:positionV>
                <wp:extent cx="2918460" cy="845820"/>
                <wp:effectExtent l="0" t="0" r="0" b="0"/>
                <wp:wrapNone/>
                <wp:docPr id="3" name="矩形 4"/>
                <wp:cNvGraphicFramePr/>
                <a:graphic xmlns:a="http://schemas.openxmlformats.org/drawingml/2006/main">
                  <a:graphicData uri="http://schemas.microsoft.com/office/word/2010/wordprocessingShape">
                    <wps:wsp>
                      <wps:cNvSpPr/>
                      <wps:spPr>
                        <a:xfrm>
                          <a:off x="0" y="0"/>
                          <a:ext cx="2918460" cy="845820"/>
                        </a:xfrm>
                        <a:prstGeom prst="rect">
                          <a:avLst/>
                        </a:prstGeom>
                        <a:noFill/>
                        <a:ln>
                          <a:noFill/>
                        </a:ln>
                        <a:effectLst/>
                      </wps:spPr>
                      <wps:txbx>
                        <w:txbxContent>
                          <w:p>
                            <w:pPr>
                              <w:spacing w:line="360" w:lineRule="auto"/>
                              <w:jc w:val="left"/>
                              <w:outlineLvl w:val="0"/>
                              <w:rPr>
                                <w:rFonts w:ascii="仿宋_GB2312" w:hAnsi="黑体" w:eastAsia="仿宋_GB2312"/>
                                <w:sz w:val="30"/>
                                <w:szCs w:val="30"/>
                              </w:rPr>
                            </w:pPr>
                            <w:r>
                              <w:rPr>
                                <w:rFonts w:hint="eastAsia" w:ascii="仿宋_GB2312" w:hAnsi="黑体" w:eastAsia="仿宋_GB2312" w:cs="仿宋_GB2312"/>
                                <w:sz w:val="30"/>
                                <w:szCs w:val="30"/>
                              </w:rPr>
                              <w:t>开课部门：商学院</w:t>
                            </w:r>
                            <w:r>
                              <w:rPr>
                                <w:rFonts w:ascii="仿宋_GB2312" w:hAnsi="黑体" w:eastAsia="仿宋_GB2312" w:cs="仿宋_GB2312"/>
                                <w:sz w:val="30"/>
                                <w:szCs w:val="30"/>
                              </w:rPr>
                              <w:t xml:space="preserve">                   </w:t>
                            </w:r>
                          </w:p>
                          <w:p>
                            <w:pPr>
                              <w:spacing w:line="360" w:lineRule="auto"/>
                              <w:jc w:val="left"/>
                              <w:outlineLvl w:val="0"/>
                              <w:rPr>
                                <w:rFonts w:ascii="仿宋_GB2312" w:hAnsi="黑体" w:eastAsia="仿宋_GB2312" w:cs="仿宋_GB2312"/>
                                <w:sz w:val="30"/>
                                <w:szCs w:val="30"/>
                              </w:rPr>
                            </w:pPr>
                            <w:r>
                              <w:rPr>
                                <w:rFonts w:hint="eastAsia" w:ascii="仿宋_GB2312" w:hAnsi="黑体" w:eastAsia="仿宋_GB2312" w:cs="仿宋_GB2312"/>
                                <w:sz w:val="30"/>
                                <w:szCs w:val="30"/>
                              </w:rPr>
                              <w:t>编制时间：</w:t>
                            </w:r>
                            <w:r>
                              <w:rPr>
                                <w:rFonts w:ascii="仿宋_GB2312" w:hAnsi="黑体" w:eastAsia="仿宋_GB2312" w:cs="仿宋_GB2312"/>
                                <w:sz w:val="30"/>
                                <w:szCs w:val="30"/>
                              </w:rPr>
                              <w:t xml:space="preserve">2019.6.25                  </w:t>
                            </w:r>
                          </w:p>
                          <w:p/>
                        </w:txbxContent>
                      </wps:txbx>
                      <wps:bodyPr anchor="ctr" upright="1"/>
                    </wps:wsp>
                  </a:graphicData>
                </a:graphic>
              </wp:anchor>
            </w:drawing>
          </mc:Choice>
          <mc:Fallback>
            <w:pict>
              <v:rect id="矩形 4" o:spid="_x0000_s1026" o:spt="1" style="position:absolute;left:0pt;margin-left:-6.8pt;margin-top:3.2pt;height:66.6pt;width:229.8pt;z-index:251658240;v-text-anchor:middle;mso-width-relative:page;mso-height-relative:page;" filled="f" stroked="f" coordsize="21600,21600" o:gfxdata="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CGPcc11AAAAAkBAAAPAAAAAAAAAAEAIAAAACIAAABkcnMv&#10;ZG93bnJldi54bWxQSwECFAAUAAAACACHTuJAvWY2G5UBAAAOAwAADgAAAAAAAAABACAAAAAjAQAA&#10;ZHJzL2Uyb0RvYy54bWxQSwUGAAAAAAYABgBZAQAAKgUAAAAA&#10;">
                <v:fill on="f" focussize="0,0"/>
                <v:stroke on="f"/>
                <v:imagedata o:title=""/>
                <o:lock v:ext="edit" aspectratio="f"/>
                <v:textbox>
                  <w:txbxContent>
                    <w:p>
                      <w:pPr>
                        <w:spacing w:line="360" w:lineRule="auto"/>
                        <w:jc w:val="left"/>
                        <w:outlineLvl w:val="0"/>
                        <w:rPr>
                          <w:rFonts w:ascii="仿宋_GB2312" w:hAnsi="黑体" w:eastAsia="仿宋_GB2312"/>
                          <w:sz w:val="30"/>
                          <w:szCs w:val="30"/>
                        </w:rPr>
                      </w:pPr>
                      <w:r>
                        <w:rPr>
                          <w:rFonts w:hint="eastAsia" w:ascii="仿宋_GB2312" w:hAnsi="黑体" w:eastAsia="仿宋_GB2312" w:cs="仿宋_GB2312"/>
                          <w:sz w:val="30"/>
                          <w:szCs w:val="30"/>
                        </w:rPr>
                        <w:t>开课部门：商学院</w:t>
                      </w:r>
                      <w:r>
                        <w:rPr>
                          <w:rFonts w:ascii="仿宋_GB2312" w:hAnsi="黑体" w:eastAsia="仿宋_GB2312" w:cs="仿宋_GB2312"/>
                          <w:sz w:val="30"/>
                          <w:szCs w:val="30"/>
                        </w:rPr>
                        <w:t xml:space="preserve">                   </w:t>
                      </w:r>
                    </w:p>
                    <w:p>
                      <w:pPr>
                        <w:spacing w:line="360" w:lineRule="auto"/>
                        <w:jc w:val="left"/>
                        <w:outlineLvl w:val="0"/>
                        <w:rPr>
                          <w:rFonts w:ascii="仿宋_GB2312" w:hAnsi="黑体" w:eastAsia="仿宋_GB2312" w:cs="仿宋_GB2312"/>
                          <w:sz w:val="30"/>
                          <w:szCs w:val="30"/>
                        </w:rPr>
                      </w:pPr>
                      <w:r>
                        <w:rPr>
                          <w:rFonts w:hint="eastAsia" w:ascii="仿宋_GB2312" w:hAnsi="黑体" w:eastAsia="仿宋_GB2312" w:cs="仿宋_GB2312"/>
                          <w:sz w:val="30"/>
                          <w:szCs w:val="30"/>
                        </w:rPr>
                        <w:t>编制时间：</w:t>
                      </w:r>
                      <w:r>
                        <w:rPr>
                          <w:rFonts w:ascii="仿宋_GB2312" w:hAnsi="黑体" w:eastAsia="仿宋_GB2312" w:cs="仿宋_GB2312"/>
                          <w:sz w:val="30"/>
                          <w:szCs w:val="30"/>
                        </w:rPr>
                        <w:t xml:space="preserve">2019.6.25                  </w:t>
                      </w:r>
                    </w:p>
                    <w:p/>
                  </w:txbxContent>
                </v:textbox>
              </v:rect>
            </w:pict>
          </mc:Fallback>
        </mc:AlternateContent>
      </w:r>
    </w:p>
    <w:p>
      <w:pPr>
        <w:spacing w:line="360" w:lineRule="auto"/>
        <w:jc w:val="left"/>
        <w:outlineLvl w:val="0"/>
        <w:rPr>
          <w:rFonts w:ascii="仿宋_GB2312" w:hAnsi="黑体" w:eastAsia="仿宋_GB2312"/>
          <w:sz w:val="30"/>
          <w:szCs w:val="30"/>
        </w:rPr>
      </w:pPr>
    </w:p>
    <w:p>
      <w:pPr>
        <w:jc w:val="left"/>
        <w:outlineLvl w:val="0"/>
        <w:rPr>
          <w:rFonts w:ascii="宋体"/>
          <w:color w:val="FF0000"/>
        </w:rPr>
      </w:pPr>
      <w:r>
        <w:rPr>
          <w:rFonts w:ascii="仿宋_GB2312" w:hAnsi="黑体" w:eastAsia="仿宋_GB2312" w:cs="仿宋_GB2312"/>
          <w:sz w:val="30"/>
          <w:szCs w:val="30"/>
        </w:rPr>
        <w:t xml:space="preserve"> </w:t>
      </w:r>
      <w:r>
        <w:rPr>
          <w:rFonts w:ascii="宋体" w:hAnsi="宋体" w:cs="宋体"/>
          <w:color w:val="FF0000"/>
        </w:rPr>
        <w:t xml:space="preserve"> </w:t>
      </w:r>
    </w:p>
    <w:p>
      <w:pPr>
        <w:spacing w:line="360" w:lineRule="auto"/>
        <w:jc w:val="left"/>
        <w:outlineLvl w:val="0"/>
        <w:rPr>
          <w:rFonts w:ascii="黑体" w:hAnsi="黑体" w:eastAsia="黑体"/>
          <w:sz w:val="30"/>
          <w:szCs w:val="30"/>
        </w:rPr>
      </w:pPr>
      <w:r>
        <w:rPr>
          <w:rFonts w:hint="eastAsia" w:ascii="黑体" w:hAnsi="黑体" w:eastAsia="黑体" w:cs="黑体"/>
          <w:sz w:val="30"/>
          <w:szCs w:val="30"/>
        </w:rPr>
        <w:t>一、课程基本信息</w:t>
      </w:r>
      <w:bookmarkEnd w:id="0"/>
      <w:bookmarkEnd w:id="1"/>
    </w:p>
    <w:tbl>
      <w:tblPr>
        <w:tblStyle w:val="9"/>
        <w:tblW w:w="95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77"/>
        <w:gridCol w:w="935"/>
        <w:gridCol w:w="2148"/>
        <w:gridCol w:w="1734"/>
        <w:gridCol w:w="3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77" w:type="dxa"/>
            <w:vMerge w:val="restart"/>
            <w:tcBorders>
              <w:left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课程名称</w:t>
            </w:r>
          </w:p>
        </w:tc>
        <w:tc>
          <w:tcPr>
            <w:tcW w:w="935" w:type="dxa"/>
            <w:tcBorders>
              <w:left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中文</w:t>
            </w:r>
          </w:p>
        </w:tc>
        <w:tc>
          <w:tcPr>
            <w:tcW w:w="7029" w:type="dxa"/>
            <w:gridSpan w:val="3"/>
            <w:tcBorders>
              <w:left w:val="single" w:color="auto" w:sz="4" w:space="0"/>
            </w:tcBorders>
            <w:vAlign w:val="center"/>
          </w:tcPr>
          <w:p>
            <w:pPr>
              <w:jc w:val="center"/>
              <w:rPr>
                <w:rFonts w:ascii="宋体"/>
                <w:sz w:val="24"/>
                <w:szCs w:val="24"/>
              </w:rPr>
            </w:pPr>
            <w:r>
              <w:rPr>
                <w:rFonts w:hint="eastAsia" w:ascii="宋体" w:hAnsi="宋体" w:cs="宋体"/>
                <w:sz w:val="24"/>
                <w:szCs w:val="24"/>
              </w:rPr>
              <w:t>宏观经济学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77" w:type="dxa"/>
            <w:vMerge w:val="continue"/>
            <w:tcBorders>
              <w:left w:val="single" w:color="auto" w:sz="4" w:space="0"/>
              <w:right w:val="single" w:color="auto" w:sz="4" w:space="0"/>
            </w:tcBorders>
            <w:vAlign w:val="center"/>
          </w:tcPr>
          <w:p>
            <w:pPr>
              <w:jc w:val="center"/>
              <w:rPr>
                <w:rFonts w:ascii="宋体"/>
                <w:sz w:val="24"/>
                <w:szCs w:val="24"/>
              </w:rPr>
            </w:pPr>
          </w:p>
        </w:tc>
        <w:tc>
          <w:tcPr>
            <w:tcW w:w="935" w:type="dxa"/>
            <w:tcBorders>
              <w:left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英文</w:t>
            </w:r>
          </w:p>
        </w:tc>
        <w:tc>
          <w:tcPr>
            <w:tcW w:w="7029" w:type="dxa"/>
            <w:gridSpan w:val="3"/>
            <w:tcBorders>
              <w:lef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M</w:t>
            </w:r>
            <w:r>
              <w:rPr>
                <w:rFonts w:hint="eastAsia" w:ascii="Times New Roman" w:hAnsi="Times New Roman" w:cs="Times New Roman"/>
                <w:sz w:val="24"/>
                <w:szCs w:val="24"/>
              </w:rPr>
              <w:t>a</w:t>
            </w:r>
            <w:r>
              <w:rPr>
                <w:rFonts w:ascii="Times New Roman" w:hAnsi="Times New Roman" w:cs="Times New Roman"/>
                <w:sz w:val="24"/>
                <w:szCs w:val="24"/>
              </w:rPr>
              <w:t>croeconomics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课程代码</w:t>
            </w:r>
          </w:p>
        </w:tc>
        <w:tc>
          <w:tcPr>
            <w:tcW w:w="3083" w:type="dxa"/>
            <w:gridSpan w:val="2"/>
            <w:tcBorders>
              <w:left w:val="single" w:color="auto" w:sz="4" w:space="0"/>
              <w:right w:val="single" w:color="auto" w:sz="4" w:space="0"/>
            </w:tcBorders>
            <w:vAlign w:val="center"/>
          </w:tcPr>
          <w:p>
            <w:pPr>
              <w:jc w:val="center"/>
              <w:rPr>
                <w:rFonts w:ascii="Times New Roman" w:hAnsi="Times New Roman" w:cs="Times New Roman"/>
                <w:sz w:val="24"/>
                <w:szCs w:val="24"/>
              </w:rPr>
            </w:pPr>
            <w:r>
              <w:rPr>
                <w:rFonts w:hint="eastAsia" w:ascii="宋体" w:hAnsi="宋体"/>
                <w:kern w:val="0"/>
              </w:rPr>
              <w:t>18502040400</w:t>
            </w:r>
          </w:p>
        </w:tc>
        <w:tc>
          <w:tcPr>
            <w:tcW w:w="1734" w:type="dxa"/>
            <w:tcBorders>
              <w:left w:val="single" w:color="auto" w:sz="4" w:space="0"/>
              <w:right w:val="single" w:color="auto" w:sz="4" w:space="0"/>
            </w:tcBorders>
            <w:vAlign w:val="center"/>
          </w:tcPr>
          <w:p>
            <w:pPr>
              <w:jc w:val="center"/>
              <w:rPr>
                <w:rFonts w:ascii="Times New Roman" w:hAnsi="Times New Roman" w:cs="Times New Roman"/>
                <w:sz w:val="24"/>
                <w:szCs w:val="24"/>
              </w:rPr>
            </w:pPr>
            <w:r>
              <w:rPr>
                <w:rFonts w:hint="eastAsia" w:ascii="Times New Roman" w:hAnsi="宋体" w:cs="宋体"/>
                <w:sz w:val="24"/>
                <w:szCs w:val="24"/>
              </w:rPr>
              <w:t>课程性质</w:t>
            </w:r>
          </w:p>
        </w:tc>
        <w:tc>
          <w:tcPr>
            <w:tcW w:w="3147" w:type="dxa"/>
            <w:tcBorders>
              <w:left w:val="single" w:color="auto" w:sz="4" w:space="0"/>
            </w:tcBorders>
            <w:vAlign w:val="center"/>
          </w:tcPr>
          <w:p>
            <w:pPr>
              <w:jc w:val="center"/>
              <w:rPr>
                <w:rFonts w:ascii="Times New Roman" w:hAnsi="Times New Roman" w:cs="Times New Roman"/>
                <w:sz w:val="24"/>
                <w:szCs w:val="24"/>
              </w:rPr>
            </w:pPr>
            <w:r>
              <w:rPr>
                <w:rFonts w:hint="eastAsia" w:ascii="Times New Roman" w:hAnsi="宋体" w:cs="宋体"/>
                <w:sz w:val="24"/>
                <w:szCs w:val="24"/>
              </w:rPr>
              <w:t>专业基础课程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课程学分</w:t>
            </w:r>
          </w:p>
        </w:tc>
        <w:tc>
          <w:tcPr>
            <w:tcW w:w="3083" w:type="dxa"/>
            <w:gridSpan w:val="2"/>
            <w:tcBorders>
              <w:left w:val="single" w:color="auto" w:sz="4" w:space="0"/>
              <w:right w:val="single" w:color="auto" w:sz="4" w:space="0"/>
            </w:tcBorders>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3</w:t>
            </w:r>
          </w:p>
        </w:tc>
        <w:tc>
          <w:tcPr>
            <w:tcW w:w="1734" w:type="dxa"/>
            <w:tcBorders>
              <w:left w:val="single" w:color="auto" w:sz="4" w:space="0"/>
              <w:right w:val="single" w:color="auto" w:sz="4" w:space="0"/>
            </w:tcBorders>
            <w:vAlign w:val="center"/>
          </w:tcPr>
          <w:p>
            <w:pPr>
              <w:jc w:val="center"/>
              <w:rPr>
                <w:rFonts w:ascii="Times New Roman" w:hAnsi="Times New Roman" w:cs="Times New Roman"/>
                <w:sz w:val="24"/>
                <w:szCs w:val="24"/>
              </w:rPr>
            </w:pPr>
            <w:r>
              <w:rPr>
                <w:rFonts w:hint="eastAsia" w:ascii="Times New Roman" w:hAnsi="宋体" w:cs="宋体"/>
                <w:sz w:val="24"/>
                <w:szCs w:val="24"/>
              </w:rPr>
              <w:t>课程学时</w:t>
            </w:r>
          </w:p>
        </w:tc>
        <w:tc>
          <w:tcPr>
            <w:tcW w:w="3147" w:type="dxa"/>
            <w:tcBorders>
              <w:left w:val="single" w:color="auto" w:sz="4" w:space="0"/>
            </w:tcBorders>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适用专业</w:t>
            </w:r>
          </w:p>
        </w:tc>
        <w:tc>
          <w:tcPr>
            <w:tcW w:w="3083" w:type="dxa"/>
            <w:gridSpan w:val="2"/>
            <w:tcBorders>
              <w:left w:val="single" w:color="auto" w:sz="4" w:space="0"/>
              <w:right w:val="single" w:color="auto" w:sz="4" w:space="0"/>
            </w:tcBorders>
            <w:vAlign w:val="center"/>
          </w:tcPr>
          <w:p>
            <w:pPr>
              <w:jc w:val="center"/>
              <w:rPr>
                <w:rFonts w:hint="default" w:ascii="Times New Roman" w:hAnsi="Times New Roman" w:eastAsia="宋体" w:cs="Times New Roman"/>
                <w:sz w:val="24"/>
                <w:szCs w:val="24"/>
                <w:lang w:val="en-US" w:eastAsia="zh-CN"/>
              </w:rPr>
            </w:pPr>
            <w:r>
              <w:rPr>
                <w:rFonts w:hint="eastAsia" w:ascii="Times New Roman" w:hAnsi="宋体" w:cs="宋体"/>
                <w:sz w:val="24"/>
                <w:szCs w:val="24"/>
                <w:lang w:val="en-US" w:eastAsia="zh-CN"/>
              </w:rPr>
              <w:t>经统、管理学类</w:t>
            </w:r>
          </w:p>
        </w:tc>
        <w:tc>
          <w:tcPr>
            <w:tcW w:w="1734" w:type="dxa"/>
            <w:tcBorders>
              <w:left w:val="single" w:color="auto" w:sz="4" w:space="0"/>
              <w:right w:val="single" w:color="auto" w:sz="4" w:space="0"/>
            </w:tcBorders>
            <w:vAlign w:val="center"/>
          </w:tcPr>
          <w:p>
            <w:pPr>
              <w:jc w:val="center"/>
              <w:rPr>
                <w:rFonts w:ascii="Times New Roman" w:hAnsi="Times New Roman" w:cs="Times New Roman"/>
                <w:sz w:val="24"/>
                <w:szCs w:val="24"/>
              </w:rPr>
            </w:pPr>
            <w:r>
              <w:rPr>
                <w:rFonts w:hint="eastAsia" w:ascii="Times New Roman" w:hAnsi="宋体" w:cs="宋体"/>
                <w:sz w:val="24"/>
                <w:szCs w:val="24"/>
              </w:rPr>
              <w:t>课程组负责人</w:t>
            </w:r>
          </w:p>
        </w:tc>
        <w:tc>
          <w:tcPr>
            <w:tcW w:w="3147" w:type="dxa"/>
            <w:tcBorders>
              <w:left w:val="single" w:color="auto" w:sz="4" w:space="0"/>
            </w:tcBorders>
            <w:vAlign w:val="center"/>
          </w:tcPr>
          <w:p>
            <w:pPr>
              <w:jc w:val="center"/>
              <w:rPr>
                <w:rFonts w:ascii="Times New Roman" w:hAnsi="Times New Roman" w:cs="Times New Roman"/>
                <w:sz w:val="24"/>
                <w:szCs w:val="24"/>
              </w:rPr>
            </w:pPr>
            <w:r>
              <w:rPr>
                <w:rFonts w:hint="eastAsia" w:ascii="Times New Roman" w:hAnsi="Times New Roman" w:cs="宋体"/>
                <w:sz w:val="24"/>
                <w:szCs w:val="24"/>
              </w:rPr>
              <w:t>张惠萍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6" w:hRule="atLeast"/>
          <w:jc w:val="center"/>
        </w:trPr>
        <w:tc>
          <w:tcPr>
            <w:tcW w:w="1577" w:type="dxa"/>
            <w:tcBorders>
              <w:left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课程组成员</w:t>
            </w:r>
          </w:p>
        </w:tc>
        <w:tc>
          <w:tcPr>
            <w:tcW w:w="7964" w:type="dxa"/>
            <w:gridSpan w:val="4"/>
            <w:tcBorders>
              <w:left w:val="single" w:color="auto" w:sz="4" w:space="0"/>
            </w:tcBorders>
            <w:vAlign w:val="center"/>
          </w:tcPr>
          <w:p>
            <w:pPr>
              <w:ind w:firstLine="240" w:firstLineChars="100"/>
              <w:jc w:val="left"/>
              <w:rPr>
                <w:rFonts w:ascii="宋体"/>
                <w:sz w:val="24"/>
                <w:szCs w:val="24"/>
              </w:rPr>
            </w:pPr>
            <w:r>
              <w:rPr>
                <w:rFonts w:hint="eastAsia" w:ascii="宋体"/>
                <w:sz w:val="24"/>
                <w:szCs w:val="24"/>
                <w:lang w:val="en-US" w:eastAsia="zh-CN"/>
              </w:rPr>
              <w:t>张惠萍、许晓红、吴宜勇、程水红、管豪、蔡颖婕、林士尧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1" w:hRule="atLeast"/>
          <w:jc w:val="center"/>
        </w:trPr>
        <w:tc>
          <w:tcPr>
            <w:tcW w:w="1577" w:type="dxa"/>
            <w:tcBorders>
              <w:left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先修课程</w:t>
            </w:r>
          </w:p>
        </w:tc>
        <w:tc>
          <w:tcPr>
            <w:tcW w:w="7964" w:type="dxa"/>
            <w:gridSpan w:val="4"/>
            <w:tcBorders>
              <w:left w:val="single" w:color="auto" w:sz="4" w:space="0"/>
            </w:tcBorders>
            <w:vAlign w:val="center"/>
          </w:tcPr>
          <w:p>
            <w:pPr>
              <w:jc w:val="left"/>
              <w:rPr>
                <w:rFonts w:ascii="宋体"/>
                <w:sz w:val="24"/>
                <w:szCs w:val="24"/>
              </w:rPr>
            </w:pPr>
            <w:r>
              <w:rPr>
                <w:rFonts w:ascii="宋体" w:hAnsi="宋体" w:cs="宋体"/>
                <w:sz w:val="24"/>
                <w:szCs w:val="24"/>
              </w:rPr>
              <w:t xml:space="preserve">  </w:t>
            </w:r>
            <w:r>
              <w:rPr>
                <w:rFonts w:hint="eastAsia" w:ascii="宋体" w:hAnsi="宋体" w:cs="宋体"/>
                <w:sz w:val="24"/>
                <w:szCs w:val="24"/>
              </w:rPr>
              <w:t>经济数学、微观经济学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选用教材</w:t>
            </w:r>
          </w:p>
        </w:tc>
        <w:tc>
          <w:tcPr>
            <w:tcW w:w="7964" w:type="dxa"/>
            <w:gridSpan w:val="4"/>
            <w:tcBorders>
              <w:left w:val="single" w:color="auto" w:sz="4" w:space="0"/>
            </w:tcBorders>
            <w:vAlign w:val="center"/>
          </w:tcPr>
          <w:p>
            <w:pPr>
              <w:spacing w:line="360" w:lineRule="auto"/>
              <w:rPr>
                <w:rFonts w:ascii="宋体" w:hAnsi="宋体" w:cs="宋体"/>
                <w:sz w:val="24"/>
                <w:szCs w:val="24"/>
              </w:rPr>
            </w:pPr>
            <w:r>
              <w:rPr>
                <w:rFonts w:hint="eastAsia" w:ascii="Times New Roman" w:hAnsi="宋体" w:cs="Times New Roman"/>
                <w:sz w:val="24"/>
                <w:szCs w:val="24"/>
              </w:rPr>
              <w:t>《西方经济学》编写组</w:t>
            </w:r>
            <w:r>
              <w:rPr>
                <w:rFonts w:ascii="Times New Roman" w:hAnsi="宋体" w:cs="Times New Roman"/>
                <w:sz w:val="24"/>
                <w:szCs w:val="24"/>
              </w:rPr>
              <w:t xml:space="preserve">. </w:t>
            </w:r>
            <w:r>
              <w:rPr>
                <w:rFonts w:hint="eastAsia" w:ascii="Times New Roman" w:hAnsi="宋体" w:cs="Times New Roman"/>
                <w:sz w:val="24"/>
                <w:szCs w:val="24"/>
              </w:rPr>
              <w:t>西方经济学（下册）</w:t>
            </w:r>
            <w:r>
              <w:rPr>
                <w:rFonts w:ascii="Times New Roman" w:hAnsi="宋体" w:cs="Times New Roman"/>
                <w:sz w:val="24"/>
                <w:szCs w:val="24"/>
              </w:rPr>
              <w:t xml:space="preserve">. </w:t>
            </w:r>
            <w:r>
              <w:rPr>
                <w:rFonts w:hint="eastAsia" w:ascii="Times New Roman" w:hAnsi="宋体" w:cs="Times New Roman"/>
                <w:sz w:val="24"/>
                <w:szCs w:val="24"/>
              </w:rPr>
              <w:t>北京：高等教育出版社</w:t>
            </w:r>
            <w:r>
              <w:rPr>
                <w:rFonts w:ascii="Times New Roman" w:hAnsi="宋体" w:cs="Times New Roman"/>
                <w:sz w:val="24"/>
                <w:szCs w:val="24"/>
              </w:rPr>
              <w:t>&amp;</w:t>
            </w:r>
            <w:r>
              <w:rPr>
                <w:rFonts w:hint="eastAsia" w:ascii="Times New Roman" w:hAnsi="宋体" w:cs="Times New Roman"/>
                <w:sz w:val="24"/>
                <w:szCs w:val="24"/>
              </w:rPr>
              <w:t>人民出版社，</w:t>
            </w:r>
            <w:r>
              <w:rPr>
                <w:rFonts w:ascii="Times New Roman" w:hAnsi="宋体" w:cs="Times New Roman"/>
                <w:sz w:val="24"/>
                <w:szCs w:val="24"/>
              </w:rPr>
              <w:t>2012.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参考书目</w:t>
            </w:r>
          </w:p>
        </w:tc>
        <w:tc>
          <w:tcPr>
            <w:tcW w:w="7964" w:type="dxa"/>
            <w:gridSpan w:val="4"/>
            <w:tcBorders>
              <w:left w:val="single" w:color="auto" w:sz="4" w:space="0"/>
            </w:tcBorders>
            <w:vAlign w:val="center"/>
          </w:tcPr>
          <w:p>
            <w:pPr>
              <w:spacing w:line="360" w:lineRule="auto"/>
              <w:jc w:val="left"/>
              <w:rPr>
                <w:rFonts w:ascii="Times New Roman" w:hAnsi="宋体" w:cs="Times New Roman"/>
                <w:sz w:val="24"/>
                <w:szCs w:val="24"/>
              </w:rPr>
            </w:pPr>
            <w:r>
              <w:rPr>
                <w:rFonts w:hint="eastAsia" w:ascii="Times New Roman" w:hAnsi="宋体" w:cs="Times New Roman"/>
                <w:sz w:val="24"/>
                <w:szCs w:val="24"/>
              </w:rPr>
              <w:t>1.高鸿业</w:t>
            </w:r>
            <w:r>
              <w:rPr>
                <w:rFonts w:ascii="Times New Roman" w:hAnsi="宋体" w:cs="Times New Roman"/>
                <w:sz w:val="24"/>
                <w:szCs w:val="24"/>
              </w:rPr>
              <w:t>.</w:t>
            </w:r>
            <w:r>
              <w:rPr>
                <w:rFonts w:hint="eastAsia" w:ascii="Times New Roman" w:hAnsi="宋体" w:cs="Times New Roman"/>
                <w:sz w:val="24"/>
                <w:szCs w:val="24"/>
              </w:rPr>
              <w:t>西方经济学（宏观部分·第六版）</w:t>
            </w:r>
            <w:r>
              <w:rPr>
                <w:rFonts w:ascii="Times New Roman" w:hAnsi="宋体" w:cs="Times New Roman"/>
                <w:sz w:val="24"/>
                <w:szCs w:val="24"/>
              </w:rPr>
              <w:t>.</w:t>
            </w:r>
            <w:r>
              <w:rPr>
                <w:rFonts w:hint="eastAsia" w:ascii="Times New Roman" w:hAnsi="宋体" w:cs="Times New Roman"/>
                <w:sz w:val="24"/>
                <w:szCs w:val="24"/>
              </w:rPr>
              <w:t>中国人民大学出版社，</w:t>
            </w:r>
            <w:r>
              <w:rPr>
                <w:rFonts w:ascii="Times New Roman" w:hAnsi="宋体" w:cs="Times New Roman"/>
                <w:sz w:val="24"/>
                <w:szCs w:val="24"/>
              </w:rPr>
              <w:t>2014.</w:t>
            </w:r>
          </w:p>
          <w:p>
            <w:pPr>
              <w:spacing w:line="360" w:lineRule="auto"/>
              <w:jc w:val="left"/>
              <w:rPr>
                <w:rFonts w:ascii="Times New Roman" w:hAnsi="宋体" w:cs="Times New Roman"/>
                <w:sz w:val="24"/>
                <w:szCs w:val="24"/>
              </w:rPr>
            </w:pPr>
            <w:r>
              <w:rPr>
                <w:rFonts w:hint="eastAsia" w:ascii="Times New Roman" w:hAnsi="宋体" w:cs="Times New Roman"/>
                <w:sz w:val="24"/>
                <w:szCs w:val="24"/>
              </w:rPr>
              <w:t>2.曼昆</w:t>
            </w:r>
            <w:r>
              <w:rPr>
                <w:rFonts w:ascii="Times New Roman" w:hAnsi="宋体" w:cs="Times New Roman"/>
                <w:sz w:val="24"/>
                <w:szCs w:val="24"/>
              </w:rPr>
              <w:t>.</w:t>
            </w:r>
            <w:r>
              <w:rPr>
                <w:rFonts w:hint="eastAsia" w:ascii="Times New Roman" w:hAnsi="宋体" w:cs="Times New Roman"/>
                <w:sz w:val="24"/>
                <w:szCs w:val="24"/>
              </w:rPr>
              <w:t>《宏观经济学（第七版）》，中国人民大学出版社，2011</w:t>
            </w:r>
            <w:r>
              <w:rPr>
                <w:rFonts w:ascii="Times New Roman" w:hAnsi="宋体" w:cs="Times New Roman"/>
                <w:sz w:val="24"/>
                <w:szCs w:val="24"/>
              </w:rPr>
              <w:t>.</w:t>
            </w:r>
            <w:r>
              <w:rPr>
                <w:rFonts w:hint="eastAsia" w:ascii="Times New Roman" w:hAnsi="宋体" w:cs="Times New Roman"/>
                <w:sz w:val="24"/>
                <w:szCs w:val="24"/>
              </w:rPr>
              <w:t xml:space="preserve"> </w:t>
            </w:r>
          </w:p>
          <w:p>
            <w:pPr>
              <w:spacing w:line="360" w:lineRule="auto"/>
              <w:jc w:val="left"/>
              <w:rPr>
                <w:rFonts w:ascii="Times New Roman" w:hAnsi="宋体" w:cs="Times New Roman"/>
                <w:sz w:val="24"/>
                <w:szCs w:val="24"/>
              </w:rPr>
            </w:pPr>
            <w:r>
              <w:rPr>
                <w:rFonts w:hint="eastAsia" w:ascii="Times New Roman" w:hAnsi="宋体" w:cs="Times New Roman"/>
                <w:sz w:val="24"/>
                <w:szCs w:val="24"/>
              </w:rPr>
              <w:t>3.张苏</w:t>
            </w:r>
            <w:r>
              <w:rPr>
                <w:rFonts w:ascii="Times New Roman" w:hAnsi="宋体" w:cs="Times New Roman"/>
                <w:sz w:val="24"/>
                <w:szCs w:val="24"/>
              </w:rPr>
              <w:t>.</w:t>
            </w:r>
            <w:r>
              <w:rPr>
                <w:rFonts w:hint="eastAsia" w:ascii="Times New Roman" w:hAnsi="宋体" w:cs="Times New Roman"/>
                <w:sz w:val="24"/>
                <w:szCs w:val="24"/>
              </w:rPr>
              <w:t>《宏观经济学》，清华大学出版社</w:t>
            </w:r>
            <w:r>
              <w:rPr>
                <w:rFonts w:ascii="Times New Roman" w:hAnsi="宋体" w:cs="Times New Roman"/>
                <w:sz w:val="24"/>
                <w:szCs w:val="24"/>
              </w:rPr>
              <w:t>.</w:t>
            </w:r>
          </w:p>
          <w:p>
            <w:pPr>
              <w:spacing w:line="360" w:lineRule="auto"/>
              <w:jc w:val="left"/>
              <w:rPr>
                <w:rFonts w:ascii="Times New Roman" w:hAnsi="宋体" w:cs="Times New Roman"/>
                <w:sz w:val="24"/>
                <w:szCs w:val="24"/>
              </w:rPr>
            </w:pPr>
            <w:r>
              <w:rPr>
                <w:rFonts w:hint="eastAsia" w:ascii="Times New Roman" w:hAnsi="宋体" w:cs="Times New Roman"/>
                <w:sz w:val="24"/>
                <w:szCs w:val="24"/>
              </w:rPr>
              <w:t>4.鲁迪格﹒多恩布什等</w:t>
            </w:r>
            <w:r>
              <w:rPr>
                <w:rFonts w:ascii="Times New Roman" w:hAnsi="宋体" w:cs="Times New Roman"/>
                <w:sz w:val="24"/>
                <w:szCs w:val="24"/>
              </w:rPr>
              <w:t>.</w:t>
            </w:r>
            <w:r>
              <w:rPr>
                <w:rFonts w:hint="eastAsia" w:ascii="Times New Roman" w:hAnsi="宋体" w:cs="Times New Roman"/>
                <w:sz w:val="24"/>
                <w:szCs w:val="24"/>
              </w:rPr>
              <w:t>《宏观经济学》，王志伟译，中国人民大学出版社</w:t>
            </w:r>
            <w:r>
              <w:rPr>
                <w:rFonts w:ascii="Times New Roman" w:hAnsi="宋体" w:cs="Times New Roman"/>
                <w:sz w:val="24"/>
                <w:szCs w:val="24"/>
              </w:rPr>
              <w:t>.</w:t>
            </w:r>
          </w:p>
          <w:p>
            <w:pPr>
              <w:spacing w:line="360" w:lineRule="auto"/>
              <w:jc w:val="left"/>
              <w:rPr>
                <w:rFonts w:ascii="Times New Roman" w:hAnsi="宋体" w:cs="Times New Roman"/>
                <w:sz w:val="24"/>
                <w:szCs w:val="24"/>
              </w:rPr>
            </w:pPr>
            <w:r>
              <w:rPr>
                <w:rFonts w:hint="eastAsia" w:ascii="Times New Roman" w:hAnsi="宋体" w:cs="Times New Roman"/>
                <w:sz w:val="24"/>
                <w:szCs w:val="24"/>
              </w:rPr>
              <w:t>5.保罗﹒萨缪尔森等</w:t>
            </w:r>
            <w:r>
              <w:rPr>
                <w:rFonts w:ascii="Times New Roman" w:hAnsi="宋体" w:cs="Times New Roman"/>
                <w:sz w:val="24"/>
                <w:szCs w:val="24"/>
              </w:rPr>
              <w:t>.</w:t>
            </w:r>
            <w:r>
              <w:rPr>
                <w:rFonts w:hint="eastAsia" w:ascii="Times New Roman" w:hAnsi="宋体" w:cs="Times New Roman"/>
                <w:sz w:val="24"/>
                <w:szCs w:val="24"/>
              </w:rPr>
              <w:t>《宏观经济学》，萧琛等译，人民邮电出版社</w:t>
            </w:r>
            <w:r>
              <w:rPr>
                <w:rFonts w:ascii="Times New Roman" w:hAnsi="宋体" w:cs="Times New Roman"/>
                <w:sz w:val="24"/>
                <w:szCs w:val="24"/>
              </w:rPr>
              <w:t>.</w:t>
            </w:r>
          </w:p>
          <w:p>
            <w:pPr>
              <w:spacing w:line="360" w:lineRule="auto"/>
              <w:jc w:val="left"/>
              <w:rPr>
                <w:rFonts w:ascii="宋体"/>
                <w:sz w:val="24"/>
                <w:szCs w:val="24"/>
              </w:rPr>
            </w:pPr>
            <w:r>
              <w:rPr>
                <w:rFonts w:hint="eastAsia" w:ascii="Times New Roman" w:hAnsi="宋体" w:cs="Times New Roman"/>
                <w:sz w:val="24"/>
                <w:szCs w:val="24"/>
              </w:rPr>
              <w:t>6.杰弗里﹒萨克斯</w:t>
            </w:r>
            <w:r>
              <w:rPr>
                <w:rFonts w:ascii="Times New Roman" w:hAnsi="宋体" w:cs="Times New Roman"/>
                <w:sz w:val="24"/>
                <w:szCs w:val="24"/>
              </w:rPr>
              <w:t>.</w:t>
            </w:r>
            <w:r>
              <w:rPr>
                <w:rFonts w:hint="eastAsia" w:ascii="Times New Roman" w:hAnsi="宋体" w:cs="Times New Roman"/>
                <w:sz w:val="24"/>
                <w:szCs w:val="24"/>
              </w:rPr>
              <w:t>《全球视角的宏观经济学》，费方域等译，上海人民出版社</w:t>
            </w:r>
            <w:r>
              <w:rPr>
                <w:rFonts w:ascii="Times New Roman" w:hAnsi="宋体" w:cs="Times New Roman"/>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1" w:hRule="atLeast"/>
          <w:jc w:val="center"/>
        </w:trPr>
        <w:tc>
          <w:tcPr>
            <w:tcW w:w="1577" w:type="dxa"/>
            <w:tcBorders>
              <w:left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推荐教材</w:t>
            </w:r>
          </w:p>
        </w:tc>
        <w:tc>
          <w:tcPr>
            <w:tcW w:w="7964" w:type="dxa"/>
            <w:gridSpan w:val="4"/>
            <w:tcBorders>
              <w:left w:val="single" w:color="auto" w:sz="4" w:space="0"/>
            </w:tcBorders>
            <w:vAlign w:val="center"/>
          </w:tcPr>
          <w:p>
            <w:pPr>
              <w:jc w:val="left"/>
              <w:rPr>
                <w:rFonts w:ascii="宋体"/>
                <w:sz w:val="24"/>
                <w:szCs w:val="24"/>
              </w:rPr>
            </w:pPr>
            <w:r>
              <w:rPr>
                <w:rFonts w:hint="eastAsia" w:ascii="Times New Roman" w:hAnsi="宋体" w:cs="Times New Roman"/>
                <w:sz w:val="24"/>
                <w:szCs w:val="24"/>
              </w:rPr>
              <w:t>高鸿业</w:t>
            </w:r>
            <w:r>
              <w:rPr>
                <w:rFonts w:ascii="Times New Roman" w:hAnsi="宋体" w:cs="Times New Roman"/>
                <w:sz w:val="24"/>
                <w:szCs w:val="24"/>
              </w:rPr>
              <w:t>.</w:t>
            </w:r>
            <w:r>
              <w:rPr>
                <w:rFonts w:hint="eastAsia" w:ascii="Times New Roman" w:hAnsi="宋体" w:cs="Times New Roman"/>
                <w:sz w:val="24"/>
                <w:szCs w:val="24"/>
              </w:rPr>
              <w:t>西方经济学（宏观部分·第六版）</w:t>
            </w:r>
            <w:r>
              <w:rPr>
                <w:rFonts w:ascii="Times New Roman" w:hAnsi="宋体" w:cs="Times New Roman"/>
                <w:sz w:val="24"/>
                <w:szCs w:val="24"/>
              </w:rPr>
              <w:t>.</w:t>
            </w:r>
            <w:r>
              <w:rPr>
                <w:rFonts w:hint="eastAsia" w:ascii="Times New Roman" w:hAnsi="宋体" w:cs="Times New Roman"/>
                <w:sz w:val="24"/>
                <w:szCs w:val="24"/>
              </w:rPr>
              <w:t>北京：中国人民大学出版社，</w:t>
            </w:r>
            <w:r>
              <w:rPr>
                <w:rFonts w:ascii="Times New Roman" w:hAnsi="宋体" w:cs="Times New Roman"/>
                <w:sz w:val="24"/>
                <w:szCs w:val="24"/>
              </w:rPr>
              <w:t>2014.</w:t>
            </w:r>
          </w:p>
        </w:tc>
      </w:tr>
    </w:tbl>
    <w:p>
      <w:pPr>
        <w:widowControl/>
        <w:spacing w:line="360" w:lineRule="auto"/>
        <w:jc w:val="left"/>
        <w:outlineLvl w:val="0"/>
        <w:rPr>
          <w:rFonts w:ascii="黑体" w:hAnsi="黑体" w:eastAsia="黑体"/>
          <w:sz w:val="30"/>
          <w:szCs w:val="30"/>
        </w:rPr>
      </w:pPr>
      <w:bookmarkStart w:id="2" w:name="_Toc2371664"/>
      <w:bookmarkStart w:id="3" w:name="_Toc4406546"/>
      <w:r>
        <w:rPr>
          <w:rFonts w:hint="eastAsia" w:ascii="黑体" w:hAnsi="黑体" w:eastAsia="黑体" w:cs="黑体"/>
          <w:sz w:val="30"/>
          <w:szCs w:val="30"/>
        </w:rPr>
        <w:t>二、课程目标</w:t>
      </w:r>
      <w:bookmarkEnd w:id="2"/>
      <w:bookmarkEnd w:id="3"/>
    </w:p>
    <w:p>
      <w:pPr>
        <w:spacing w:line="480" w:lineRule="exact"/>
        <w:jc w:val="left"/>
        <w:rPr>
          <w:rFonts w:ascii="仿宋_GB2312" w:hAnsi="宋体" w:eastAsia="仿宋_GB2312"/>
          <w:b/>
          <w:bCs/>
          <w:sz w:val="30"/>
          <w:szCs w:val="30"/>
        </w:rPr>
      </w:pPr>
      <w:r>
        <w:rPr>
          <w:rFonts w:hint="eastAsia" w:ascii="仿宋_GB2312" w:hAnsi="宋体" w:eastAsia="仿宋_GB2312" w:cs="仿宋_GB2312"/>
          <w:b/>
          <w:bCs/>
          <w:sz w:val="30"/>
          <w:szCs w:val="30"/>
        </w:rPr>
        <w:t>（一）课程具体目标</w:t>
      </w:r>
    </w:p>
    <w:tbl>
      <w:tblPr>
        <w:tblStyle w:val="9"/>
        <w:tblW w:w="987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5"/>
        <w:gridCol w:w="83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rPr>
                <w:rFonts w:ascii="宋体"/>
                <w:b/>
                <w:bCs/>
              </w:rPr>
            </w:pPr>
            <w:r>
              <w:rPr>
                <w:rFonts w:ascii="仿宋_GB2312" w:hAnsi="宋体" w:eastAsia="仿宋_GB2312" w:cs="仿宋_GB2312"/>
                <w:sz w:val="28"/>
                <w:szCs w:val="28"/>
              </w:rPr>
              <w:t xml:space="preserve">   </w:t>
            </w:r>
            <w:r>
              <w:rPr>
                <w:rFonts w:hint="eastAsia" w:ascii="宋体" w:hAnsi="宋体" w:cs="宋体"/>
                <w:b/>
                <w:bCs/>
              </w:rPr>
              <w:t>序</w:t>
            </w:r>
            <w:r>
              <w:rPr>
                <w:rFonts w:ascii="宋体" w:hAnsi="宋体" w:cs="宋体"/>
                <w:b/>
                <w:bCs/>
              </w:rPr>
              <w:t xml:space="preserve">  </w:t>
            </w:r>
            <w:r>
              <w:rPr>
                <w:rFonts w:hint="eastAsia" w:ascii="宋体" w:hAnsi="宋体" w:cs="宋体"/>
                <w:b/>
                <w:bCs/>
              </w:rPr>
              <w:t>号</w:t>
            </w:r>
          </w:p>
        </w:tc>
        <w:tc>
          <w:tcPr>
            <w:tcW w:w="8309" w:type="dxa"/>
            <w:tcBorders>
              <w:left w:val="single" w:color="auto" w:sz="4" w:space="0"/>
            </w:tcBorders>
            <w:vAlign w:val="center"/>
          </w:tcPr>
          <w:p>
            <w:pPr>
              <w:jc w:val="center"/>
              <w:rPr>
                <w:rFonts w:ascii="宋体"/>
                <w:b/>
                <w:bCs/>
              </w:rPr>
            </w:pPr>
            <w:r>
              <w:rPr>
                <w:rFonts w:hint="eastAsia" w:ascii="宋体" w:hAnsi="宋体" w:cs="宋体"/>
                <w:b/>
                <w:bCs/>
              </w:rPr>
              <w:t>课程具体目标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jc w:val="center"/>
              <w:rPr>
                <w:rFonts w:ascii="宋体"/>
              </w:rPr>
            </w:pPr>
            <w:r>
              <w:rPr>
                <w:rFonts w:hint="eastAsia" w:ascii="宋体" w:hAnsi="宋体" w:cs="宋体"/>
              </w:rPr>
              <w:t>课程目标</w:t>
            </w:r>
            <w:r>
              <w:rPr>
                <w:rFonts w:ascii="宋体" w:hAnsi="宋体" w:cs="宋体"/>
              </w:rPr>
              <w:t>1</w:t>
            </w:r>
          </w:p>
        </w:tc>
        <w:tc>
          <w:tcPr>
            <w:tcW w:w="8309" w:type="dxa"/>
            <w:tcBorders>
              <w:left w:val="single" w:color="auto" w:sz="4" w:space="0"/>
            </w:tcBorders>
            <w:vAlign w:val="center"/>
          </w:tcPr>
          <w:p>
            <w:pPr>
              <w:jc w:val="left"/>
              <w:rPr>
                <w:rFonts w:asciiTheme="minorHAnsi" w:hAnsiTheme="minorHAnsi" w:eastAsiaTheme="minorEastAsia" w:cstheme="minorBidi"/>
                <w:bCs/>
              </w:rPr>
            </w:pPr>
            <w:r>
              <w:rPr>
                <w:rFonts w:hint="eastAsia" w:asciiTheme="minorHAnsi" w:hAnsiTheme="minorHAnsi" w:eastAsiaTheme="minorEastAsia" w:cstheme="minorBidi"/>
                <w:bCs/>
              </w:rPr>
              <w:t>能够比较系统地掌握现代宏观经济学的基本原理和主要分析方法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jc w:val="center"/>
              <w:rPr>
                <w:rFonts w:ascii="宋体"/>
              </w:rPr>
            </w:pPr>
            <w:r>
              <w:rPr>
                <w:rFonts w:hint="eastAsia" w:ascii="宋体" w:hAnsi="宋体" w:cs="宋体"/>
              </w:rPr>
              <w:t>课程目标</w:t>
            </w:r>
            <w:r>
              <w:rPr>
                <w:rFonts w:ascii="宋体" w:hAnsi="宋体" w:cs="宋体"/>
              </w:rPr>
              <w:t>2</w:t>
            </w:r>
          </w:p>
        </w:tc>
        <w:tc>
          <w:tcPr>
            <w:tcW w:w="8309" w:type="dxa"/>
            <w:tcBorders>
              <w:left w:val="single" w:color="auto" w:sz="4" w:space="0"/>
            </w:tcBorders>
            <w:vAlign w:val="center"/>
          </w:tcPr>
          <w:p>
            <w:pPr>
              <w:jc w:val="left"/>
              <w:rPr>
                <w:rFonts w:asciiTheme="minorHAnsi" w:hAnsiTheme="minorHAnsi" w:eastAsiaTheme="minorEastAsia" w:cstheme="minorBidi"/>
                <w:bCs/>
              </w:rPr>
            </w:pPr>
            <w:r>
              <w:rPr>
                <w:rFonts w:hint="eastAsia" w:asciiTheme="minorHAnsi" w:hAnsiTheme="minorHAnsi" w:eastAsiaTheme="minorEastAsia" w:cstheme="minorBidi"/>
                <w:bCs/>
              </w:rPr>
              <w:t>了解现代宏观经济学的发展，为继续学习其他经济学专业基础课和专业课打下良好的基础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jc w:val="center"/>
              <w:rPr>
                <w:rFonts w:ascii="宋体"/>
              </w:rPr>
            </w:pPr>
            <w:r>
              <w:rPr>
                <w:rFonts w:hint="eastAsia" w:ascii="宋体" w:hAnsi="宋体" w:cs="宋体"/>
              </w:rPr>
              <w:t>课程目标</w:t>
            </w:r>
            <w:r>
              <w:rPr>
                <w:rFonts w:ascii="宋体" w:hAnsi="宋体" w:cs="宋体"/>
              </w:rPr>
              <w:t>3</w:t>
            </w:r>
          </w:p>
        </w:tc>
        <w:tc>
          <w:tcPr>
            <w:tcW w:w="8309" w:type="dxa"/>
            <w:tcBorders>
              <w:left w:val="single" w:color="auto" w:sz="4" w:space="0"/>
            </w:tcBorders>
            <w:vAlign w:val="center"/>
          </w:tcPr>
          <w:p>
            <w:pPr>
              <w:jc w:val="left"/>
              <w:rPr>
                <w:rFonts w:asciiTheme="minorHAnsi" w:hAnsiTheme="minorHAnsi" w:eastAsiaTheme="minorEastAsia" w:cstheme="minorBidi"/>
                <w:bCs/>
              </w:rPr>
            </w:pPr>
            <w:r>
              <w:rPr>
                <w:rFonts w:hint="eastAsia" w:asciiTheme="minorHAnsi" w:hAnsiTheme="minorHAnsi" w:eastAsiaTheme="minorEastAsia" w:cstheme="minorBidi"/>
                <w:bCs/>
              </w:rPr>
              <w:t>能够运用所学理论和方法联系实际分析当前国际经济和中国经济发展的一些经济问题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jc w:val="center"/>
              <w:rPr>
                <w:rFonts w:ascii="宋体"/>
              </w:rPr>
            </w:pPr>
            <w:r>
              <w:rPr>
                <w:rFonts w:hint="eastAsia" w:ascii="宋体" w:hAnsi="宋体" w:cs="宋体"/>
              </w:rPr>
              <w:t>课程目标</w:t>
            </w:r>
            <w:r>
              <w:rPr>
                <w:rFonts w:ascii="宋体" w:hAnsi="宋体" w:cs="宋体"/>
              </w:rPr>
              <w:t>4</w:t>
            </w:r>
          </w:p>
        </w:tc>
        <w:tc>
          <w:tcPr>
            <w:tcW w:w="8309" w:type="dxa"/>
            <w:tcBorders>
              <w:left w:val="single" w:color="auto" w:sz="4" w:space="0"/>
            </w:tcBorders>
            <w:vAlign w:val="center"/>
          </w:tcPr>
          <w:p>
            <w:pPr>
              <w:jc w:val="left"/>
              <w:rPr>
                <w:rFonts w:asciiTheme="minorHAnsi" w:hAnsiTheme="minorHAnsi" w:eastAsiaTheme="minorEastAsia" w:cstheme="minorBidi"/>
                <w:bCs/>
              </w:rPr>
            </w:pPr>
            <w:r>
              <w:rPr>
                <w:rFonts w:hint="eastAsia" w:asciiTheme="minorHAnsi" w:hAnsiTheme="minorHAnsi" w:eastAsiaTheme="minorEastAsia" w:cstheme="minorBidi"/>
                <w:bCs/>
              </w:rPr>
              <w:t>为将来从事经济理论和政策研究或经济管理实际工作提供必要的经济学基础知识和经济分析的基本方法。</w:t>
            </w:r>
          </w:p>
        </w:tc>
      </w:tr>
    </w:tbl>
    <w:p>
      <w:pPr>
        <w:spacing w:line="480" w:lineRule="exact"/>
        <w:jc w:val="left"/>
        <w:rPr>
          <w:rFonts w:ascii="仿宋_GB2312" w:hAnsi="宋体" w:eastAsia="仿宋_GB2312"/>
          <w:b/>
          <w:bCs/>
          <w:sz w:val="30"/>
          <w:szCs w:val="30"/>
        </w:rPr>
      </w:pPr>
    </w:p>
    <w:p>
      <w:pPr>
        <w:spacing w:line="480" w:lineRule="exact"/>
        <w:jc w:val="left"/>
        <w:rPr>
          <w:rFonts w:ascii="仿宋_GB2312" w:hAnsi="宋体" w:eastAsia="仿宋_GB2312"/>
          <w:b/>
          <w:bCs/>
          <w:sz w:val="30"/>
          <w:szCs w:val="30"/>
        </w:rPr>
      </w:pPr>
      <w:r>
        <w:rPr>
          <w:rFonts w:hint="eastAsia" w:ascii="仿宋_GB2312" w:hAnsi="宋体" w:eastAsia="仿宋_GB2312" w:cs="仿宋_GB2312"/>
          <w:b/>
          <w:bCs/>
          <w:sz w:val="30"/>
          <w:szCs w:val="30"/>
        </w:rPr>
        <w:t>（二）课程目标与毕业要求的关系</w:t>
      </w:r>
    </w:p>
    <w:tbl>
      <w:tblPr>
        <w:tblStyle w:val="9"/>
        <w:tblW w:w="99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09"/>
        <w:gridCol w:w="2808"/>
        <w:gridCol w:w="56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09" w:type="dxa"/>
            <w:vAlign w:val="center"/>
          </w:tcPr>
          <w:p>
            <w:pPr>
              <w:spacing w:line="300" w:lineRule="exact"/>
              <w:jc w:val="center"/>
              <w:rPr>
                <w:rFonts w:ascii="宋体"/>
                <w:b/>
                <w:bCs/>
              </w:rPr>
            </w:pPr>
            <w:r>
              <w:rPr>
                <w:rFonts w:hint="eastAsia" w:ascii="宋体" w:hAnsi="宋体" w:cs="宋体"/>
                <w:b/>
                <w:bCs/>
              </w:rPr>
              <w:t>课程目标</w:t>
            </w:r>
          </w:p>
        </w:tc>
        <w:tc>
          <w:tcPr>
            <w:tcW w:w="2808" w:type="dxa"/>
            <w:vAlign w:val="center"/>
          </w:tcPr>
          <w:p>
            <w:pPr>
              <w:spacing w:line="300" w:lineRule="exact"/>
              <w:jc w:val="center"/>
              <w:rPr>
                <w:rFonts w:ascii="宋体"/>
                <w:b/>
                <w:bCs/>
              </w:rPr>
            </w:pPr>
            <w:r>
              <w:rPr>
                <w:rFonts w:hint="eastAsia" w:ascii="宋体" w:hAnsi="宋体" w:cs="宋体"/>
                <w:b/>
                <w:bCs/>
              </w:rPr>
              <w:t>支撑的毕业要求</w:t>
            </w:r>
          </w:p>
        </w:tc>
        <w:tc>
          <w:tcPr>
            <w:tcW w:w="5670" w:type="dxa"/>
            <w:vAlign w:val="center"/>
          </w:tcPr>
          <w:p>
            <w:pPr>
              <w:spacing w:line="300" w:lineRule="exact"/>
              <w:jc w:val="center"/>
              <w:rPr>
                <w:rFonts w:ascii="宋体"/>
                <w:b/>
                <w:bCs/>
              </w:rPr>
            </w:pPr>
            <w:r>
              <w:rPr>
                <w:rFonts w:hint="eastAsia" w:ascii="宋体" w:hAnsi="宋体" w:cs="宋体"/>
                <w:b/>
                <w:bCs/>
              </w:rPr>
              <w:t>支撑的毕业要求指标点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4" w:hRule="atLeast"/>
          <w:jc w:val="center"/>
        </w:trPr>
        <w:tc>
          <w:tcPr>
            <w:tcW w:w="1509" w:type="dxa"/>
            <w:vMerge w:val="restart"/>
            <w:vAlign w:val="center"/>
          </w:tcPr>
          <w:p>
            <w:pPr>
              <w:jc w:val="center"/>
              <w:rPr>
                <w:rFonts w:ascii="宋体" w:hAnsi="宋体" w:cs="宋体"/>
              </w:rPr>
            </w:pPr>
            <w:r>
              <w:rPr>
                <w:rFonts w:hint="eastAsia" w:ascii="宋体" w:hAnsi="宋体" w:cs="宋体"/>
              </w:rPr>
              <w:t>课程目标</w:t>
            </w:r>
            <w:r>
              <w:rPr>
                <w:rFonts w:ascii="宋体" w:hAnsi="宋体" w:cs="宋体"/>
              </w:rPr>
              <w:t>1</w:t>
            </w:r>
          </w:p>
        </w:tc>
        <w:tc>
          <w:tcPr>
            <w:tcW w:w="2808" w:type="dxa"/>
            <w:vAlign w:val="center"/>
          </w:tcPr>
          <w:p>
            <w:pPr>
              <w:spacing w:line="300" w:lineRule="exact"/>
              <w:jc w:val="left"/>
              <w:rPr>
                <w:rFonts w:ascii="宋体" w:hAnsi="宋体" w:cstheme="minorBidi"/>
              </w:rPr>
            </w:pPr>
            <w:r>
              <w:rPr>
                <w:rFonts w:hint="eastAsia" w:ascii="宋体" w:hAnsi="宋体" w:cstheme="minorBidi"/>
              </w:rPr>
              <w:t>毕业要求</w:t>
            </w:r>
            <w:r>
              <w:rPr>
                <w:rFonts w:hint="eastAsia" w:ascii="宋体" w:hAnsi="宋体" w:cstheme="minorBidi"/>
                <w:lang w:val="en-US" w:eastAsia="zh-CN"/>
              </w:rPr>
              <w:t>1</w:t>
            </w:r>
            <w:r>
              <w:rPr>
                <w:rFonts w:ascii="宋体" w:hAnsi="宋体" w:cstheme="minorBidi"/>
              </w:rPr>
              <w:t>:</w:t>
            </w:r>
            <w:r>
              <w:rPr>
                <w:rFonts w:hint="eastAsia" w:ascii="宋体" w:hAnsi="宋体" w:eastAsia="宋体" w:cstheme="minorBidi"/>
                <w:lang w:val="en-US" w:eastAsia="zh-CN"/>
              </w:rPr>
              <w:t>知识获取能力</w:t>
            </w:r>
          </w:p>
        </w:tc>
        <w:tc>
          <w:tcPr>
            <w:tcW w:w="5670" w:type="dxa"/>
            <w:vAlign w:val="center"/>
          </w:tcPr>
          <w:p>
            <w:pPr>
              <w:pStyle w:val="21"/>
              <w:ind w:left="0" w:leftChars="0" w:firstLine="0" w:firstLineChars="0"/>
              <w:rPr>
                <w:rFonts w:hint="eastAsia" w:ascii="宋体" w:hAnsi="宋体" w:eastAsia="宋体" w:cstheme="minorBidi"/>
                <w:kern w:val="2"/>
                <w:sz w:val="21"/>
                <w:szCs w:val="21"/>
                <w:lang w:val="en-US" w:eastAsia="zh-CN" w:bidi="ar-SA"/>
              </w:rPr>
            </w:pPr>
            <w:r>
              <w:rPr>
                <w:rFonts w:hint="eastAsia" w:ascii="宋体" w:hAnsi="宋体" w:eastAsia="宋体" w:cstheme="minorBidi"/>
                <w:kern w:val="2"/>
                <w:sz w:val="21"/>
                <w:szCs w:val="21"/>
                <w:lang w:val="en-US" w:eastAsia="zh-CN" w:bidi="ar-SA"/>
              </w:rPr>
              <w:t>1.1本专业学生须熟练掌握数学、统计学、经济学等基础学科的理论和方法。</w:t>
            </w:r>
          </w:p>
          <w:p>
            <w:pPr>
              <w:spacing w:line="300" w:lineRule="exact"/>
              <w:rPr>
                <w:rFonts w:ascii="宋体" w:hAnsi="宋体" w:cstheme="minorBid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9" w:hRule="atLeast"/>
          <w:jc w:val="center"/>
        </w:trPr>
        <w:tc>
          <w:tcPr>
            <w:tcW w:w="1509" w:type="dxa"/>
            <w:vMerge w:val="continue"/>
            <w:vAlign w:val="center"/>
          </w:tcPr>
          <w:p>
            <w:pPr>
              <w:jc w:val="center"/>
              <w:rPr>
                <w:rFonts w:ascii="宋体"/>
              </w:rPr>
            </w:pPr>
          </w:p>
        </w:tc>
        <w:tc>
          <w:tcPr>
            <w:tcW w:w="2808" w:type="dxa"/>
            <w:vAlign w:val="center"/>
          </w:tcPr>
          <w:p>
            <w:pPr>
              <w:spacing w:line="300" w:lineRule="exact"/>
              <w:jc w:val="left"/>
              <w:rPr>
                <w:rFonts w:ascii="宋体" w:hAnsi="宋体" w:cstheme="minorBidi"/>
              </w:rPr>
            </w:pPr>
            <w:r>
              <w:rPr>
                <w:rFonts w:hint="eastAsia" w:ascii="宋体" w:hAnsi="宋体" w:eastAsia="宋体" w:cstheme="minorBidi"/>
                <w:kern w:val="2"/>
                <w:sz w:val="21"/>
                <w:szCs w:val="21"/>
                <w:lang w:val="en-US" w:eastAsia="zh-CN" w:bidi="ar-SA"/>
              </w:rPr>
              <w:t>毕业要求2:知识应用能力</w:t>
            </w:r>
          </w:p>
        </w:tc>
        <w:tc>
          <w:tcPr>
            <w:tcW w:w="5670" w:type="dxa"/>
            <w:vAlign w:val="center"/>
          </w:tcPr>
          <w:p>
            <w:pPr>
              <w:pStyle w:val="21"/>
              <w:ind w:left="0" w:leftChars="0" w:firstLine="0" w:firstLineChars="0"/>
              <w:rPr>
                <w:rFonts w:hint="eastAsia" w:ascii="宋体" w:hAnsi="宋体" w:eastAsia="宋体" w:cstheme="minorBidi"/>
                <w:kern w:val="2"/>
                <w:sz w:val="21"/>
                <w:szCs w:val="21"/>
                <w:lang w:val="en-US" w:eastAsia="zh-CN" w:bidi="ar-SA"/>
              </w:rPr>
            </w:pPr>
            <w:r>
              <w:rPr>
                <w:rFonts w:hint="eastAsia" w:ascii="宋体" w:hAnsi="宋体" w:eastAsia="宋体" w:cstheme="minorBidi"/>
                <w:kern w:val="2"/>
                <w:sz w:val="21"/>
                <w:szCs w:val="21"/>
                <w:lang w:val="en-US" w:eastAsia="zh-CN" w:bidi="ar-SA"/>
              </w:rPr>
              <w:t>2.1具有国际视野，系统掌握市场营销专业基础知识。具备市场调查与预测、营销策划、销售管理等组织管理问题的敏锐性和判断力，并能够运用市场营销学理论和方法，系统分析、解决企业的营销问题。</w:t>
            </w:r>
          </w:p>
          <w:p>
            <w:pPr>
              <w:spacing w:line="300" w:lineRule="exact"/>
              <w:rPr>
                <w:rFonts w:ascii="宋体" w:hAnsi="宋体" w:eastAsia="宋体" w:cstheme="minorBidi"/>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2" w:hRule="atLeast"/>
          <w:jc w:val="center"/>
        </w:trPr>
        <w:tc>
          <w:tcPr>
            <w:tcW w:w="1509" w:type="dxa"/>
            <w:vMerge w:val="restart"/>
            <w:vAlign w:val="center"/>
          </w:tcPr>
          <w:p>
            <w:pPr>
              <w:jc w:val="center"/>
              <w:rPr>
                <w:rFonts w:ascii="宋体"/>
              </w:rPr>
            </w:pPr>
            <w:r>
              <w:rPr>
                <w:rFonts w:hint="eastAsia" w:ascii="宋体" w:hAnsi="宋体" w:cs="宋体"/>
              </w:rPr>
              <w:t>课程目标</w:t>
            </w:r>
            <w:r>
              <w:rPr>
                <w:rFonts w:ascii="宋体" w:hAnsi="宋体" w:cs="宋体"/>
              </w:rPr>
              <w:t>2</w:t>
            </w:r>
          </w:p>
        </w:tc>
        <w:tc>
          <w:tcPr>
            <w:tcW w:w="2808" w:type="dxa"/>
            <w:vAlign w:val="center"/>
          </w:tcPr>
          <w:p>
            <w:pPr>
              <w:spacing w:line="300" w:lineRule="exact"/>
              <w:jc w:val="left"/>
              <w:rPr>
                <w:rFonts w:ascii="宋体" w:hAnsi="宋体" w:cstheme="minorBidi"/>
              </w:rPr>
            </w:pPr>
            <w:r>
              <w:rPr>
                <w:rFonts w:hint="eastAsia" w:ascii="宋体" w:hAnsi="宋体" w:eastAsia="宋体" w:cstheme="minorBidi"/>
                <w:kern w:val="2"/>
                <w:sz w:val="21"/>
                <w:szCs w:val="21"/>
                <w:lang w:val="en-US" w:eastAsia="zh-CN" w:bidi="ar-SA"/>
              </w:rPr>
              <w:t>毕业要求1:知识获取能力</w:t>
            </w:r>
          </w:p>
        </w:tc>
        <w:tc>
          <w:tcPr>
            <w:tcW w:w="5670" w:type="dxa"/>
            <w:vAlign w:val="center"/>
          </w:tcPr>
          <w:p>
            <w:pPr>
              <w:pStyle w:val="21"/>
              <w:ind w:left="0" w:leftChars="0" w:firstLine="0" w:firstLineChars="0"/>
              <w:rPr>
                <w:rFonts w:hint="eastAsia" w:ascii="宋体" w:hAnsi="宋体" w:eastAsia="宋体" w:cstheme="minorBidi"/>
                <w:kern w:val="2"/>
                <w:sz w:val="21"/>
                <w:szCs w:val="21"/>
                <w:lang w:val="en-US" w:eastAsia="zh-CN" w:bidi="ar-SA"/>
              </w:rPr>
            </w:pPr>
            <w:r>
              <w:rPr>
                <w:rFonts w:hint="eastAsia" w:ascii="宋体" w:hAnsi="宋体" w:eastAsia="宋体" w:cstheme="minorBidi"/>
                <w:kern w:val="2"/>
                <w:sz w:val="21"/>
                <w:szCs w:val="21"/>
                <w:lang w:val="en-US" w:eastAsia="zh-CN" w:bidi="ar-SA"/>
              </w:rPr>
              <w:t>1.1本专业学生须熟练掌握数学、统计学、经济学等基础学科的理论和方法。</w:t>
            </w:r>
          </w:p>
          <w:p>
            <w:pPr>
              <w:spacing w:line="300" w:lineRule="exact"/>
              <w:rPr>
                <w:rFonts w:ascii="宋体" w:hAnsi="宋体" w:cstheme="minorBid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2" w:hRule="atLeast"/>
          <w:jc w:val="center"/>
        </w:trPr>
        <w:tc>
          <w:tcPr>
            <w:tcW w:w="1509" w:type="dxa"/>
            <w:vMerge w:val="continue"/>
            <w:tcBorders>
              <w:bottom w:val="single" w:color="auto" w:sz="4" w:space="0"/>
            </w:tcBorders>
            <w:vAlign w:val="center"/>
          </w:tcPr>
          <w:p>
            <w:pPr>
              <w:jc w:val="center"/>
              <w:rPr>
                <w:rFonts w:ascii="宋体"/>
              </w:rPr>
            </w:pPr>
          </w:p>
        </w:tc>
        <w:tc>
          <w:tcPr>
            <w:tcW w:w="2808" w:type="dxa"/>
            <w:vAlign w:val="center"/>
          </w:tcPr>
          <w:p>
            <w:pPr>
              <w:spacing w:line="300" w:lineRule="exact"/>
              <w:jc w:val="left"/>
              <w:rPr>
                <w:rFonts w:ascii="宋体" w:hAnsi="宋体" w:cstheme="minorBidi"/>
              </w:rPr>
            </w:pPr>
            <w:r>
              <w:rPr>
                <w:rFonts w:hint="eastAsia" w:ascii="宋体" w:hAnsi="宋体" w:eastAsia="宋体" w:cstheme="minorBidi"/>
                <w:kern w:val="2"/>
                <w:sz w:val="21"/>
                <w:szCs w:val="21"/>
                <w:lang w:val="en-US" w:eastAsia="zh-CN" w:bidi="ar-SA"/>
              </w:rPr>
              <w:t>毕业要求5:科学研究能力</w:t>
            </w:r>
          </w:p>
        </w:tc>
        <w:tc>
          <w:tcPr>
            <w:tcW w:w="5670" w:type="dxa"/>
            <w:vAlign w:val="center"/>
          </w:tcPr>
          <w:p>
            <w:pPr>
              <w:tabs>
                <w:tab w:val="left" w:pos="3570"/>
              </w:tabs>
              <w:adjustRightInd w:val="0"/>
              <w:snapToGrid w:val="0"/>
              <w:spacing w:line="400" w:lineRule="exact"/>
              <w:rPr>
                <w:rFonts w:hint="eastAsia" w:ascii="宋体" w:hAnsi="宋体" w:eastAsia="宋体" w:cstheme="minorBidi"/>
                <w:kern w:val="2"/>
                <w:sz w:val="21"/>
                <w:szCs w:val="21"/>
                <w:lang w:val="en-US" w:eastAsia="zh-CN" w:bidi="ar-SA"/>
              </w:rPr>
            </w:pPr>
            <w:r>
              <w:rPr>
                <w:rFonts w:hint="eastAsia" w:ascii="宋体" w:hAnsi="宋体" w:eastAsia="宋体" w:cstheme="minorBidi"/>
                <w:kern w:val="2"/>
                <w:sz w:val="21"/>
                <w:szCs w:val="21"/>
                <w:lang w:val="en-US" w:eastAsia="zh-CN" w:bidi="ar-SA"/>
              </w:rPr>
              <w:t>5.1掌握文献检索、资料查询的基本方法，具有一定的科学研究能力</w:t>
            </w:r>
          </w:p>
          <w:p>
            <w:pPr>
              <w:spacing w:line="300" w:lineRule="exact"/>
              <w:rPr>
                <w:rFonts w:ascii="宋体" w:hAnsi="宋体" w:cstheme="minorBid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2" w:hRule="atLeast"/>
          <w:jc w:val="center"/>
        </w:trPr>
        <w:tc>
          <w:tcPr>
            <w:tcW w:w="1509" w:type="dxa"/>
            <w:vMerge w:val="restart"/>
            <w:tcBorders>
              <w:top w:val="single" w:color="auto" w:sz="4" w:space="0"/>
            </w:tcBorders>
            <w:vAlign w:val="center"/>
          </w:tcPr>
          <w:p>
            <w:pPr>
              <w:jc w:val="center"/>
              <w:rPr>
                <w:rFonts w:ascii="宋体"/>
              </w:rPr>
            </w:pPr>
            <w:r>
              <w:rPr>
                <w:rFonts w:hint="eastAsia" w:ascii="宋体" w:hAnsi="宋体" w:cs="宋体"/>
              </w:rPr>
              <w:t>课程目标</w:t>
            </w:r>
            <w:r>
              <w:rPr>
                <w:rFonts w:ascii="宋体" w:hAnsi="宋体" w:cs="宋体"/>
              </w:rPr>
              <w:t>3</w:t>
            </w:r>
          </w:p>
        </w:tc>
        <w:tc>
          <w:tcPr>
            <w:tcW w:w="2808" w:type="dxa"/>
            <w:vAlign w:val="center"/>
          </w:tcPr>
          <w:p>
            <w:pPr>
              <w:spacing w:line="300" w:lineRule="exact"/>
              <w:jc w:val="left"/>
              <w:rPr>
                <w:rFonts w:ascii="宋体" w:hAnsi="宋体" w:cstheme="minorBidi"/>
              </w:rPr>
            </w:pPr>
            <w:r>
              <w:rPr>
                <w:rFonts w:hint="eastAsia" w:ascii="宋体" w:hAnsi="宋体" w:cstheme="minorBidi"/>
              </w:rPr>
              <w:t>毕业要求</w:t>
            </w:r>
            <w:r>
              <w:rPr>
                <w:rFonts w:ascii="宋体" w:hAnsi="宋体" w:cstheme="minorBidi"/>
              </w:rPr>
              <w:t>2:</w:t>
            </w:r>
            <w:r>
              <w:rPr>
                <w:rFonts w:hint="eastAsia" w:ascii="宋体" w:hAnsi="宋体" w:eastAsia="宋体" w:cstheme="minorBidi"/>
                <w:kern w:val="2"/>
                <w:sz w:val="21"/>
                <w:szCs w:val="21"/>
                <w:lang w:val="en-US" w:eastAsia="zh-CN" w:bidi="ar-SA"/>
              </w:rPr>
              <w:t>知识应用能力</w:t>
            </w:r>
          </w:p>
        </w:tc>
        <w:tc>
          <w:tcPr>
            <w:tcW w:w="5670" w:type="dxa"/>
            <w:vAlign w:val="center"/>
          </w:tcPr>
          <w:p>
            <w:pPr>
              <w:pStyle w:val="21"/>
              <w:ind w:left="0" w:leftChars="0" w:firstLine="0" w:firstLineChars="0"/>
              <w:rPr>
                <w:rFonts w:hint="eastAsia" w:ascii="宋体" w:hAnsi="宋体" w:eastAsia="宋体" w:cstheme="minorBidi"/>
                <w:kern w:val="2"/>
                <w:sz w:val="21"/>
                <w:szCs w:val="21"/>
                <w:lang w:val="en-US" w:eastAsia="zh-CN" w:bidi="ar-SA"/>
              </w:rPr>
            </w:pPr>
            <w:r>
              <w:rPr>
                <w:rFonts w:ascii="宋体" w:hAnsi="宋体" w:eastAsia="宋体" w:cstheme="minorBidi"/>
                <w:kern w:val="2"/>
                <w:sz w:val="21"/>
                <w:szCs w:val="21"/>
                <w:lang w:val="en-US" w:eastAsia="zh-CN" w:bidi="ar-SA"/>
              </w:rPr>
              <w:t>2.</w:t>
            </w:r>
            <w:r>
              <w:rPr>
                <w:rFonts w:hint="eastAsia" w:ascii="宋体" w:hAnsi="宋体" w:eastAsia="宋体" w:cstheme="minorBidi"/>
                <w:kern w:val="2"/>
                <w:sz w:val="21"/>
                <w:szCs w:val="21"/>
                <w:lang w:val="en-US" w:eastAsia="zh-CN" w:bidi="ar-SA"/>
              </w:rPr>
              <w:t>1具有国际视野，系统掌握市场营销专业基础知识。具备市场调查与预测、营销策划、销售管理等组织管理问题的敏锐性和判断力，并能够运用市场营销学理论和方法，系统分析、解决企业的营销问题。</w:t>
            </w:r>
          </w:p>
          <w:p>
            <w:pPr>
              <w:spacing w:line="300" w:lineRule="exact"/>
              <w:rPr>
                <w:rFonts w:ascii="宋体" w:hAnsi="宋体" w:cstheme="minorBid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2" w:hRule="atLeast"/>
          <w:jc w:val="center"/>
        </w:trPr>
        <w:tc>
          <w:tcPr>
            <w:tcW w:w="1509" w:type="dxa"/>
            <w:vMerge w:val="continue"/>
            <w:tcBorders>
              <w:bottom w:val="single" w:color="auto" w:sz="4" w:space="0"/>
            </w:tcBorders>
            <w:vAlign w:val="center"/>
          </w:tcPr>
          <w:p>
            <w:pPr>
              <w:jc w:val="center"/>
              <w:rPr>
                <w:rFonts w:ascii="宋体"/>
              </w:rPr>
            </w:pPr>
          </w:p>
        </w:tc>
        <w:tc>
          <w:tcPr>
            <w:tcW w:w="2808" w:type="dxa"/>
            <w:vAlign w:val="center"/>
          </w:tcPr>
          <w:p>
            <w:pPr>
              <w:spacing w:line="300" w:lineRule="exact"/>
              <w:jc w:val="left"/>
              <w:rPr>
                <w:rFonts w:ascii="宋体" w:hAnsi="宋体" w:cstheme="minorBidi"/>
              </w:rPr>
            </w:pPr>
            <w:r>
              <w:rPr>
                <w:rFonts w:hint="eastAsia" w:ascii="宋体" w:hAnsi="宋体" w:cstheme="minorBidi"/>
              </w:rPr>
              <w:t>毕业要求</w:t>
            </w:r>
            <w:r>
              <w:rPr>
                <w:rFonts w:ascii="宋体" w:hAnsi="宋体" w:cstheme="minorBidi"/>
              </w:rPr>
              <w:t>2:</w:t>
            </w:r>
            <w:r>
              <w:rPr>
                <w:rFonts w:hint="eastAsia" w:ascii="宋体" w:hAnsi="宋体" w:eastAsia="宋体" w:cstheme="minorBidi"/>
                <w:kern w:val="2"/>
                <w:sz w:val="21"/>
                <w:szCs w:val="21"/>
                <w:lang w:val="en-US" w:eastAsia="zh-CN" w:bidi="ar-SA"/>
              </w:rPr>
              <w:t>知识应用能力</w:t>
            </w:r>
          </w:p>
        </w:tc>
        <w:tc>
          <w:tcPr>
            <w:tcW w:w="5670" w:type="dxa"/>
            <w:vAlign w:val="center"/>
          </w:tcPr>
          <w:p>
            <w:pPr>
              <w:pStyle w:val="21"/>
              <w:ind w:left="0" w:leftChars="0" w:firstLine="0" w:firstLineChars="0"/>
              <w:rPr>
                <w:rFonts w:hint="eastAsia" w:ascii="宋体" w:hAnsi="宋体" w:eastAsia="宋体" w:cstheme="minorBidi"/>
                <w:kern w:val="2"/>
                <w:sz w:val="21"/>
                <w:szCs w:val="21"/>
                <w:lang w:val="en-US" w:eastAsia="zh-CN" w:bidi="ar-SA"/>
              </w:rPr>
            </w:pPr>
            <w:r>
              <w:rPr>
                <w:rFonts w:hint="eastAsia" w:ascii="宋体" w:hAnsi="宋体" w:eastAsia="宋体" w:cstheme="minorBidi"/>
                <w:kern w:val="2"/>
                <w:sz w:val="21"/>
                <w:szCs w:val="21"/>
                <w:lang w:val="en-US" w:eastAsia="zh-CN" w:bidi="ar-SA"/>
              </w:rPr>
              <w:t>2.2具有较高的审美情趣、文化品位、人文素养；具有时代精神和较强的人际交往能力；积极乐观地生活，充满责任感地工作。</w:t>
            </w:r>
          </w:p>
          <w:p>
            <w:pPr>
              <w:spacing w:line="300" w:lineRule="exact"/>
              <w:rPr>
                <w:rFonts w:ascii="宋体" w:hAnsi="宋体" w:cstheme="minorBid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2" w:hRule="atLeast"/>
          <w:jc w:val="center"/>
        </w:trPr>
        <w:tc>
          <w:tcPr>
            <w:tcW w:w="1509" w:type="dxa"/>
            <w:vMerge w:val="restart"/>
            <w:tcBorders>
              <w:top w:val="single" w:color="auto" w:sz="4" w:space="0"/>
            </w:tcBorders>
            <w:vAlign w:val="center"/>
          </w:tcPr>
          <w:p>
            <w:pPr>
              <w:jc w:val="center"/>
              <w:rPr>
                <w:rFonts w:ascii="宋体"/>
              </w:rPr>
            </w:pPr>
            <w:bookmarkStart w:id="4" w:name="_Toc4406547"/>
            <w:bookmarkStart w:id="5" w:name="_Toc2371665"/>
            <w:r>
              <w:rPr>
                <w:rFonts w:hint="eastAsia" w:ascii="宋体" w:hAnsi="宋体" w:cs="宋体"/>
              </w:rPr>
              <w:t>课程目标</w:t>
            </w:r>
            <w:r>
              <w:rPr>
                <w:rFonts w:ascii="宋体" w:hAnsi="宋体" w:cs="宋体"/>
              </w:rPr>
              <w:t>4</w:t>
            </w:r>
          </w:p>
        </w:tc>
        <w:tc>
          <w:tcPr>
            <w:tcW w:w="2808" w:type="dxa"/>
            <w:vAlign w:val="center"/>
          </w:tcPr>
          <w:p>
            <w:pPr>
              <w:spacing w:line="300" w:lineRule="exact"/>
              <w:jc w:val="left"/>
              <w:rPr>
                <w:rFonts w:ascii="宋体" w:hAnsi="宋体" w:cstheme="minorBidi"/>
              </w:rPr>
            </w:pPr>
            <w:r>
              <w:rPr>
                <w:rFonts w:hint="eastAsia" w:ascii="宋体" w:hAnsi="宋体" w:cstheme="minorBidi"/>
              </w:rPr>
              <w:t>毕业要求</w:t>
            </w:r>
            <w:r>
              <w:rPr>
                <w:rFonts w:ascii="宋体" w:hAnsi="宋体" w:cstheme="minorBidi"/>
              </w:rPr>
              <w:t>2:</w:t>
            </w:r>
            <w:r>
              <w:rPr>
                <w:rFonts w:hint="eastAsia" w:ascii="宋体" w:hAnsi="宋体" w:eastAsia="宋体" w:cstheme="minorBidi"/>
                <w:kern w:val="2"/>
                <w:sz w:val="21"/>
                <w:szCs w:val="21"/>
                <w:lang w:val="en-US" w:eastAsia="zh-CN" w:bidi="ar-SA"/>
              </w:rPr>
              <w:t>知识应用能力</w:t>
            </w:r>
          </w:p>
        </w:tc>
        <w:tc>
          <w:tcPr>
            <w:tcW w:w="5670" w:type="dxa"/>
            <w:vAlign w:val="center"/>
          </w:tcPr>
          <w:p>
            <w:pPr>
              <w:pStyle w:val="21"/>
              <w:ind w:left="0" w:leftChars="0" w:firstLine="0" w:firstLineChars="0"/>
              <w:rPr>
                <w:rFonts w:hint="eastAsia" w:ascii="宋体" w:hAnsi="宋体" w:eastAsia="宋体" w:cstheme="minorBidi"/>
                <w:kern w:val="2"/>
                <w:sz w:val="21"/>
                <w:szCs w:val="21"/>
                <w:lang w:val="en-US" w:eastAsia="zh-CN" w:bidi="ar-SA"/>
              </w:rPr>
            </w:pPr>
            <w:r>
              <w:rPr>
                <w:rFonts w:ascii="宋体" w:hAnsi="宋体" w:eastAsia="宋体" w:cstheme="minorBidi"/>
                <w:kern w:val="2"/>
                <w:sz w:val="21"/>
                <w:szCs w:val="21"/>
                <w:lang w:val="en-US" w:eastAsia="zh-CN" w:bidi="ar-SA"/>
              </w:rPr>
              <w:t>2.</w:t>
            </w:r>
            <w:r>
              <w:rPr>
                <w:rFonts w:hint="eastAsia" w:ascii="宋体" w:hAnsi="宋体" w:eastAsia="宋体" w:cstheme="minorBidi"/>
                <w:kern w:val="2"/>
                <w:sz w:val="21"/>
                <w:szCs w:val="21"/>
                <w:lang w:val="en-US" w:eastAsia="zh-CN" w:bidi="ar-SA"/>
              </w:rPr>
              <w:t>1具有国际视野，系统掌握市场营销专业基础知识。具备市场调查与预测、营销策划、销售管理等组织管理问题的敏锐性和判断力，并能够运用市场营销学理论和方法，系统分析、解决企业的营销问题。</w:t>
            </w:r>
          </w:p>
          <w:p>
            <w:pPr>
              <w:spacing w:line="300" w:lineRule="exact"/>
              <w:rPr>
                <w:rFonts w:ascii="宋体" w:hAnsi="宋体" w:cstheme="minorBid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2" w:hRule="atLeast"/>
          <w:jc w:val="center"/>
        </w:trPr>
        <w:tc>
          <w:tcPr>
            <w:tcW w:w="1509" w:type="dxa"/>
            <w:vMerge w:val="continue"/>
            <w:vAlign w:val="center"/>
          </w:tcPr>
          <w:p>
            <w:pPr>
              <w:jc w:val="center"/>
              <w:rPr>
                <w:rFonts w:ascii="宋体"/>
              </w:rPr>
            </w:pPr>
          </w:p>
        </w:tc>
        <w:tc>
          <w:tcPr>
            <w:tcW w:w="2808" w:type="dxa"/>
            <w:vAlign w:val="center"/>
          </w:tcPr>
          <w:p>
            <w:pPr>
              <w:spacing w:line="300" w:lineRule="exact"/>
              <w:jc w:val="left"/>
              <w:rPr>
                <w:rFonts w:ascii="宋体" w:hAnsi="宋体" w:cstheme="minorBidi"/>
              </w:rPr>
            </w:pPr>
            <w:r>
              <w:rPr>
                <w:rFonts w:hint="eastAsia" w:ascii="宋体" w:hAnsi="宋体" w:eastAsia="宋体" w:cstheme="minorBidi"/>
                <w:kern w:val="2"/>
                <w:sz w:val="21"/>
                <w:szCs w:val="21"/>
                <w:lang w:val="en-US" w:eastAsia="zh-CN" w:bidi="ar-SA"/>
              </w:rPr>
              <w:t>毕业要求5:科学研究能力</w:t>
            </w:r>
          </w:p>
        </w:tc>
        <w:tc>
          <w:tcPr>
            <w:tcW w:w="5670" w:type="dxa"/>
            <w:vAlign w:val="center"/>
          </w:tcPr>
          <w:p>
            <w:pPr>
              <w:spacing w:line="300" w:lineRule="exact"/>
              <w:rPr>
                <w:rFonts w:ascii="宋体" w:hAnsi="宋体" w:cstheme="minorBidi"/>
              </w:rPr>
            </w:pPr>
            <w:r>
              <w:rPr>
                <w:rFonts w:hint="eastAsia" w:ascii="宋体" w:hAnsi="宋体" w:eastAsia="宋体" w:cstheme="minorBidi"/>
                <w:kern w:val="2"/>
                <w:sz w:val="21"/>
                <w:szCs w:val="21"/>
                <w:lang w:val="en-US" w:eastAsia="zh-CN" w:bidi="ar-SA"/>
              </w:rPr>
              <w:t>5.3掌握管理、市场营销的定性和定量的研究分析方法。</w:t>
            </w:r>
          </w:p>
        </w:tc>
      </w:tr>
    </w:tbl>
    <w:p>
      <w:pPr>
        <w:spacing w:beforeLines="100" w:afterLines="50" w:line="360" w:lineRule="auto"/>
        <w:jc w:val="left"/>
        <w:outlineLvl w:val="0"/>
        <w:rPr>
          <w:rFonts w:ascii="黑体" w:hAnsi="黑体" w:eastAsia="黑体"/>
          <w:sz w:val="30"/>
          <w:szCs w:val="30"/>
        </w:rPr>
      </w:pPr>
      <w:r>
        <w:rPr>
          <w:rFonts w:hint="eastAsia" w:ascii="黑体" w:hAnsi="黑体" w:eastAsia="黑体" w:cs="黑体"/>
          <w:sz w:val="30"/>
          <w:szCs w:val="30"/>
        </w:rPr>
        <w:t>三、课程教学要求与重难点</w:t>
      </w:r>
    </w:p>
    <w:bookmarkEnd w:id="4"/>
    <w:tbl>
      <w:tblPr>
        <w:tblStyle w:val="9"/>
        <w:tblW w:w="101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71"/>
        <w:gridCol w:w="3118"/>
        <w:gridCol w:w="2552"/>
        <w:gridCol w:w="2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b/>
                <w:bCs/>
              </w:rPr>
            </w:pPr>
            <w:r>
              <w:rPr>
                <w:rFonts w:hint="eastAsia" w:ascii="宋体" w:hAnsi="宋体" w:cs="宋体"/>
                <w:b/>
                <w:bCs/>
              </w:rPr>
              <w:t>序号</w:t>
            </w:r>
          </w:p>
        </w:tc>
        <w:tc>
          <w:tcPr>
            <w:tcW w:w="1571" w:type="dxa"/>
            <w:vAlign w:val="center"/>
          </w:tcPr>
          <w:p>
            <w:pPr>
              <w:spacing w:line="280" w:lineRule="exact"/>
              <w:jc w:val="center"/>
              <w:rPr>
                <w:rFonts w:ascii="宋体"/>
                <w:b/>
                <w:bCs/>
              </w:rPr>
            </w:pPr>
            <w:r>
              <w:rPr>
                <w:rFonts w:hint="eastAsia" w:ascii="宋体" w:hAnsi="宋体" w:cs="宋体"/>
                <w:b/>
                <w:bCs/>
              </w:rPr>
              <w:t>课程内容框架</w:t>
            </w:r>
          </w:p>
        </w:tc>
        <w:tc>
          <w:tcPr>
            <w:tcW w:w="3118" w:type="dxa"/>
            <w:vAlign w:val="center"/>
          </w:tcPr>
          <w:p>
            <w:pPr>
              <w:spacing w:line="280" w:lineRule="exact"/>
              <w:jc w:val="center"/>
              <w:rPr>
                <w:rFonts w:ascii="宋体"/>
                <w:b/>
                <w:bCs/>
              </w:rPr>
            </w:pPr>
            <w:r>
              <w:rPr>
                <w:rFonts w:hint="eastAsia" w:ascii="宋体" w:hAnsi="宋体" w:cs="宋体"/>
                <w:b/>
                <w:bCs/>
              </w:rPr>
              <w:t>教学要求</w:t>
            </w:r>
          </w:p>
        </w:tc>
        <w:tc>
          <w:tcPr>
            <w:tcW w:w="2552" w:type="dxa"/>
            <w:vAlign w:val="center"/>
          </w:tcPr>
          <w:p>
            <w:pPr>
              <w:spacing w:line="280" w:lineRule="exact"/>
              <w:jc w:val="center"/>
              <w:rPr>
                <w:rFonts w:ascii="宋体"/>
                <w:b/>
                <w:bCs/>
              </w:rPr>
            </w:pPr>
            <w:r>
              <w:rPr>
                <w:rFonts w:hint="eastAsia" w:ascii="宋体" w:hAnsi="宋体" w:cs="宋体"/>
                <w:b/>
                <w:bCs/>
              </w:rPr>
              <w:t>教学重点</w:t>
            </w:r>
          </w:p>
        </w:tc>
        <w:tc>
          <w:tcPr>
            <w:tcW w:w="2185" w:type="dxa"/>
            <w:vAlign w:val="center"/>
          </w:tcPr>
          <w:p>
            <w:pPr>
              <w:spacing w:line="280" w:lineRule="exact"/>
              <w:jc w:val="center"/>
              <w:rPr>
                <w:rFonts w:ascii="宋体"/>
                <w:b/>
                <w:bCs/>
              </w:rPr>
            </w:pPr>
            <w:r>
              <w:rPr>
                <w:rFonts w:hint="eastAsia" w:ascii="宋体" w:hAnsi="宋体" w:cs="宋体"/>
                <w:b/>
                <w:bCs/>
              </w:rPr>
              <w:t>教学难点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675" w:type="dxa"/>
            <w:vAlign w:val="center"/>
          </w:tcPr>
          <w:p>
            <w:pPr>
              <w:ind w:firstLine="210" w:firstLineChars="100"/>
              <w:rPr>
                <w:rFonts w:ascii="宋体"/>
              </w:rPr>
            </w:pPr>
            <w:r>
              <w:rPr>
                <w:rFonts w:ascii="宋体" w:hAnsi="宋体" w:cs="宋体"/>
              </w:rPr>
              <w:t>1</w:t>
            </w:r>
          </w:p>
        </w:tc>
        <w:tc>
          <w:tcPr>
            <w:tcW w:w="1571" w:type="dxa"/>
            <w:vAlign w:val="center"/>
          </w:tcPr>
          <w:p>
            <w:pPr>
              <w:spacing w:line="300" w:lineRule="exact"/>
              <w:jc w:val="center"/>
              <w:rPr>
                <w:rFonts w:ascii="宋体" w:hAnsi="宋体" w:cstheme="minorBidi"/>
              </w:rPr>
            </w:pPr>
            <w:r>
              <w:rPr>
                <w:rFonts w:hint="eastAsia" w:ascii="宋体" w:hAnsi="宋体" w:cstheme="minorBidi"/>
              </w:rPr>
              <w:t>第九章</w:t>
            </w:r>
          </w:p>
          <w:p>
            <w:pPr>
              <w:spacing w:line="300" w:lineRule="exact"/>
              <w:jc w:val="center"/>
              <w:rPr>
                <w:rFonts w:ascii="宋体" w:hAnsi="宋体" w:cstheme="minorBidi"/>
              </w:rPr>
            </w:pPr>
            <w:r>
              <w:rPr>
                <w:rFonts w:hint="eastAsia" w:ascii="宋体" w:hAnsi="宋体" w:cstheme="minorBidi"/>
              </w:rPr>
              <w:t>宏观经济的基本指标及其测量</w:t>
            </w:r>
          </w:p>
        </w:tc>
        <w:tc>
          <w:tcPr>
            <w:tcW w:w="3118" w:type="dxa"/>
            <w:vAlign w:val="center"/>
          </w:tcPr>
          <w:p>
            <w:pPr>
              <w:spacing w:line="300" w:lineRule="exact"/>
              <w:rPr>
                <w:rFonts w:ascii="宋体" w:hAnsi="宋体" w:cstheme="minorBidi"/>
              </w:rPr>
            </w:pPr>
            <w:r>
              <w:rPr>
                <w:rFonts w:ascii="宋体" w:hAnsi="宋体" w:cstheme="minorBidi"/>
              </w:rPr>
              <w:t>1.</w:t>
            </w:r>
            <w:r>
              <w:rPr>
                <w:rFonts w:hint="eastAsia" w:ascii="宋体" w:hAnsi="宋体" w:cstheme="minorBidi"/>
              </w:rPr>
              <w:t>理解宏观经济学的涵义、宏观经济学的研究对象</w:t>
            </w:r>
          </w:p>
          <w:p>
            <w:pPr>
              <w:spacing w:line="300" w:lineRule="exact"/>
              <w:rPr>
                <w:rFonts w:ascii="宋体" w:hAnsi="宋体" w:cstheme="minorBidi"/>
              </w:rPr>
            </w:pPr>
            <w:r>
              <w:rPr>
                <w:rFonts w:ascii="宋体" w:hAnsi="宋体" w:cstheme="minorBidi"/>
              </w:rPr>
              <w:t>2.</w:t>
            </w:r>
            <w:r>
              <w:rPr>
                <w:rFonts w:hint="eastAsia" w:ascii="宋体" w:hAnsi="宋体" w:cstheme="minorBidi"/>
              </w:rPr>
              <w:t>了解宏观经济学的产生和发展</w:t>
            </w:r>
          </w:p>
          <w:p>
            <w:pPr>
              <w:spacing w:line="300" w:lineRule="exact"/>
              <w:rPr>
                <w:rFonts w:ascii="宋体" w:hAnsi="宋体" w:cstheme="minorBidi"/>
              </w:rPr>
            </w:pPr>
            <w:r>
              <w:rPr>
                <w:rFonts w:ascii="宋体" w:hAnsi="宋体" w:cstheme="minorBidi"/>
              </w:rPr>
              <w:t>3.</w:t>
            </w:r>
            <w:r>
              <w:rPr>
                <w:rFonts w:hint="eastAsia" w:ascii="宋体" w:hAnsi="宋体" w:cstheme="minorBidi"/>
              </w:rPr>
              <w:t>了解宏观经济学的基本指标</w:t>
            </w:r>
          </w:p>
        </w:tc>
        <w:tc>
          <w:tcPr>
            <w:tcW w:w="2552" w:type="dxa"/>
            <w:vAlign w:val="center"/>
          </w:tcPr>
          <w:p>
            <w:pPr>
              <w:spacing w:line="300" w:lineRule="exact"/>
              <w:rPr>
                <w:rFonts w:ascii="宋体" w:hAnsi="宋体" w:cstheme="minorBidi"/>
              </w:rPr>
            </w:pPr>
            <w:r>
              <w:rPr>
                <w:rFonts w:hint="eastAsia" w:ascii="宋体" w:hAnsi="宋体" w:cstheme="minorBidi"/>
              </w:rPr>
              <w:t>1.国内生产总值</w:t>
            </w:r>
          </w:p>
          <w:p>
            <w:pPr>
              <w:spacing w:line="300" w:lineRule="exact"/>
              <w:rPr>
                <w:rFonts w:ascii="宋体" w:hAnsi="宋体" w:cstheme="minorBidi"/>
              </w:rPr>
            </w:pPr>
            <w:r>
              <w:rPr>
                <w:rFonts w:hint="eastAsia" w:ascii="宋体" w:hAnsi="宋体" w:cstheme="minorBidi"/>
              </w:rPr>
              <w:t>2.价格水平及其测量</w:t>
            </w:r>
          </w:p>
          <w:p>
            <w:pPr>
              <w:spacing w:line="300" w:lineRule="exact"/>
              <w:rPr>
                <w:rFonts w:ascii="宋体" w:hAnsi="宋体"/>
              </w:rPr>
            </w:pPr>
            <w:r>
              <w:rPr>
                <w:rFonts w:hint="eastAsia" w:ascii="宋体" w:hAnsi="宋体" w:cstheme="minorBidi"/>
              </w:rPr>
              <w:t>3.失业及其衡量</w:t>
            </w:r>
          </w:p>
        </w:tc>
        <w:tc>
          <w:tcPr>
            <w:tcW w:w="2185" w:type="dxa"/>
            <w:vAlign w:val="center"/>
          </w:tcPr>
          <w:p>
            <w:pPr>
              <w:spacing w:line="300" w:lineRule="exact"/>
              <w:rPr>
                <w:rFonts w:ascii="宋体" w:hAnsi="宋体"/>
              </w:rPr>
            </w:pPr>
            <w:r>
              <w:rPr>
                <w:rFonts w:hint="eastAsia" w:ascii="宋体" w:hAnsi="宋体"/>
              </w:rPr>
              <w:t>1.国内生产总值的计算方法</w:t>
            </w:r>
          </w:p>
          <w:p>
            <w:pPr>
              <w:spacing w:line="300" w:lineRule="exact"/>
              <w:rPr>
                <w:rFonts w:ascii="宋体" w:hAnsi="宋体"/>
              </w:rPr>
            </w:pPr>
            <w:r>
              <w:rPr>
                <w:rFonts w:hint="eastAsia" w:ascii="宋体" w:hAnsi="宋体"/>
              </w:rPr>
              <w:t>2.价格水平及其测量</w:t>
            </w:r>
          </w:p>
          <w:p>
            <w:pPr>
              <w:spacing w:line="300" w:lineRule="exact"/>
              <w:rPr>
                <w:rFonts w:ascii="宋体" w:hAnsi="宋体"/>
              </w:rPr>
            </w:pPr>
            <w:r>
              <w:rPr>
                <w:rFonts w:hint="eastAsia" w:ascii="宋体" w:hAnsi="宋体"/>
              </w:rPr>
              <w:t>3.失业及其衡量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675" w:type="dxa"/>
            <w:vAlign w:val="center"/>
          </w:tcPr>
          <w:p>
            <w:pPr>
              <w:jc w:val="center"/>
              <w:rPr>
                <w:rFonts w:ascii="宋体"/>
              </w:rPr>
            </w:pPr>
            <w:r>
              <w:rPr>
                <w:rFonts w:ascii="宋体" w:hAnsi="宋体" w:cs="宋体"/>
              </w:rPr>
              <w:t>2</w:t>
            </w:r>
          </w:p>
        </w:tc>
        <w:tc>
          <w:tcPr>
            <w:tcW w:w="1571" w:type="dxa"/>
            <w:vAlign w:val="center"/>
          </w:tcPr>
          <w:p>
            <w:pPr>
              <w:spacing w:line="300" w:lineRule="exact"/>
              <w:jc w:val="center"/>
              <w:rPr>
                <w:rFonts w:ascii="宋体" w:hAnsi="宋体" w:cstheme="minorBidi"/>
              </w:rPr>
            </w:pPr>
            <w:r>
              <w:rPr>
                <w:rFonts w:hint="eastAsia" w:ascii="宋体" w:hAnsi="宋体" w:cstheme="minorBidi"/>
              </w:rPr>
              <w:t>第十章</w:t>
            </w:r>
          </w:p>
          <w:p>
            <w:pPr>
              <w:spacing w:line="300" w:lineRule="exact"/>
              <w:jc w:val="center"/>
              <w:rPr>
                <w:rFonts w:ascii="宋体" w:hAnsi="宋体" w:cstheme="minorBidi"/>
              </w:rPr>
            </w:pPr>
            <w:r>
              <w:rPr>
                <w:rFonts w:hint="eastAsia" w:ascii="宋体" w:hAnsi="宋体" w:cstheme="minorBidi"/>
              </w:rPr>
              <w:t>短期经济波动模型：产品市场的均衡</w:t>
            </w:r>
          </w:p>
        </w:tc>
        <w:tc>
          <w:tcPr>
            <w:tcW w:w="3118" w:type="dxa"/>
            <w:vAlign w:val="center"/>
          </w:tcPr>
          <w:p>
            <w:pPr>
              <w:spacing w:line="300" w:lineRule="exact"/>
              <w:rPr>
                <w:rFonts w:ascii="宋体" w:hAnsi="宋体" w:cstheme="minorBidi"/>
              </w:rPr>
            </w:pPr>
            <w:r>
              <w:rPr>
                <w:rFonts w:ascii="宋体" w:hAnsi="宋体" w:cstheme="minorBidi"/>
              </w:rPr>
              <w:t>1.</w:t>
            </w:r>
            <w:r>
              <w:rPr>
                <w:rFonts w:hint="eastAsia" w:ascii="宋体" w:hAnsi="宋体" w:cstheme="minorBidi"/>
              </w:rPr>
              <w:t>掌握均衡国民收入的基本概念及其决定过程</w:t>
            </w:r>
          </w:p>
          <w:p>
            <w:pPr>
              <w:spacing w:line="300" w:lineRule="exact"/>
              <w:rPr>
                <w:rFonts w:ascii="宋体" w:hAnsi="宋体" w:cstheme="minorBidi"/>
              </w:rPr>
            </w:pPr>
            <w:r>
              <w:rPr>
                <w:rFonts w:ascii="宋体" w:hAnsi="宋体" w:cstheme="minorBidi"/>
              </w:rPr>
              <w:t>2.</w:t>
            </w:r>
            <w:r>
              <w:rPr>
                <w:rFonts w:hint="eastAsia" w:ascii="宋体" w:hAnsi="宋体" w:cstheme="minorBidi"/>
              </w:rPr>
              <w:t>理解消费、储蓄、投资、政府需求、国外需求等因素对短期国民收入的决定作用</w:t>
            </w:r>
          </w:p>
          <w:p>
            <w:pPr>
              <w:spacing w:line="300" w:lineRule="exact"/>
              <w:rPr>
                <w:rFonts w:ascii="宋体" w:hAnsi="宋体" w:cstheme="minorBidi"/>
              </w:rPr>
            </w:pPr>
            <w:r>
              <w:rPr>
                <w:rFonts w:ascii="宋体" w:hAnsi="宋体" w:cstheme="minorBidi"/>
              </w:rPr>
              <w:t>3.</w:t>
            </w:r>
            <w:r>
              <w:rPr>
                <w:rFonts w:hint="eastAsia" w:ascii="宋体" w:hAnsi="宋体" w:cstheme="minorBidi"/>
              </w:rPr>
              <w:t>掌握乘数理论的基本内容及实践意义</w:t>
            </w:r>
          </w:p>
        </w:tc>
        <w:tc>
          <w:tcPr>
            <w:tcW w:w="2552" w:type="dxa"/>
            <w:vAlign w:val="center"/>
          </w:tcPr>
          <w:p>
            <w:pPr>
              <w:spacing w:line="300" w:lineRule="exact"/>
              <w:rPr>
                <w:rFonts w:ascii="宋体" w:hAnsi="宋体"/>
              </w:rPr>
            </w:pPr>
            <w:r>
              <w:rPr>
                <w:rFonts w:hint="eastAsia" w:ascii="宋体" w:hAnsi="宋体"/>
              </w:rPr>
              <w:t>1.均衡国民收入的决定</w:t>
            </w:r>
          </w:p>
          <w:p>
            <w:pPr>
              <w:spacing w:line="300" w:lineRule="exact"/>
              <w:rPr>
                <w:rFonts w:ascii="宋体" w:hAnsi="宋体"/>
              </w:rPr>
            </w:pPr>
            <w:r>
              <w:rPr>
                <w:rFonts w:hint="eastAsia" w:ascii="宋体" w:hAnsi="宋体"/>
              </w:rPr>
              <w:t xml:space="preserve">2.短期国民收入的决定因素：消费和储蓄 </w:t>
            </w:r>
          </w:p>
          <w:p>
            <w:pPr>
              <w:spacing w:line="300" w:lineRule="exact"/>
              <w:rPr>
                <w:rFonts w:ascii="宋体" w:hAnsi="宋体"/>
              </w:rPr>
            </w:pPr>
            <w:r>
              <w:rPr>
                <w:rFonts w:hint="eastAsia" w:ascii="宋体" w:hAnsi="宋体"/>
              </w:rPr>
              <w:t>3.短期国民收入的决定因素：投资需求</w:t>
            </w:r>
          </w:p>
          <w:p>
            <w:pPr>
              <w:spacing w:line="300" w:lineRule="exact"/>
              <w:rPr>
                <w:rFonts w:ascii="宋体" w:hAnsi="宋体"/>
              </w:rPr>
            </w:pPr>
            <w:r>
              <w:rPr>
                <w:rFonts w:hint="eastAsia" w:ascii="宋体" w:hAnsi="宋体"/>
              </w:rPr>
              <w:t>4.短期国民收入的决定因素：政府需求</w:t>
            </w:r>
          </w:p>
          <w:p>
            <w:pPr>
              <w:spacing w:line="300" w:lineRule="exact"/>
              <w:rPr>
                <w:rFonts w:ascii="宋体" w:hAnsi="宋体"/>
              </w:rPr>
            </w:pPr>
            <w:r>
              <w:rPr>
                <w:rFonts w:hint="eastAsia" w:ascii="宋体" w:hAnsi="宋体"/>
              </w:rPr>
              <w:t>5.短期国民收入的决定因素：国外需求</w:t>
            </w:r>
          </w:p>
          <w:p>
            <w:pPr>
              <w:spacing w:line="300" w:lineRule="exact"/>
              <w:rPr>
                <w:rFonts w:ascii="宋体" w:hAnsi="宋体"/>
              </w:rPr>
            </w:pPr>
            <w:r>
              <w:rPr>
                <w:rFonts w:hint="eastAsia" w:ascii="宋体" w:hAnsi="宋体"/>
              </w:rPr>
              <w:t>6.影响需求的重要因素：乘数</w:t>
            </w:r>
          </w:p>
        </w:tc>
        <w:tc>
          <w:tcPr>
            <w:tcW w:w="2185" w:type="dxa"/>
            <w:vAlign w:val="center"/>
          </w:tcPr>
          <w:p>
            <w:pPr>
              <w:spacing w:line="300" w:lineRule="exact"/>
              <w:rPr>
                <w:rFonts w:ascii="宋体" w:hAnsi="宋体"/>
              </w:rPr>
            </w:pPr>
            <w:r>
              <w:rPr>
                <w:rFonts w:ascii="宋体" w:hAnsi="宋体"/>
              </w:rPr>
              <w:t>1.</w:t>
            </w:r>
            <w:r>
              <w:rPr>
                <w:rFonts w:hint="eastAsia" w:ascii="宋体" w:hAnsi="宋体"/>
              </w:rPr>
              <w:t>均衡国民收入的决定过程</w:t>
            </w:r>
          </w:p>
          <w:p>
            <w:pPr>
              <w:spacing w:line="300" w:lineRule="exact"/>
              <w:rPr>
                <w:rFonts w:ascii="宋体" w:hAnsi="宋体"/>
              </w:rPr>
            </w:pPr>
            <w:r>
              <w:rPr>
                <w:rFonts w:ascii="宋体" w:hAnsi="宋体"/>
              </w:rPr>
              <w:t>2.</w:t>
            </w:r>
            <w:r>
              <w:rPr>
                <w:rFonts w:hint="eastAsia" w:ascii="宋体" w:hAnsi="宋体"/>
              </w:rPr>
              <w:t>决定短期国民收入的几种因素</w:t>
            </w:r>
          </w:p>
          <w:p>
            <w:pPr>
              <w:spacing w:line="300" w:lineRule="exact"/>
              <w:rPr>
                <w:rFonts w:ascii="宋体" w:hAnsi="宋体"/>
              </w:rPr>
            </w:pPr>
            <w:r>
              <w:rPr>
                <w:rFonts w:ascii="宋体" w:hAnsi="宋体"/>
              </w:rPr>
              <w:t>3.</w:t>
            </w:r>
            <w:r>
              <w:rPr>
                <w:rFonts w:hint="eastAsia" w:ascii="宋体" w:hAnsi="宋体"/>
              </w:rPr>
              <w:t>几种乘数的定义和计算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4" w:hRule="atLeast"/>
          <w:jc w:val="center"/>
        </w:trPr>
        <w:tc>
          <w:tcPr>
            <w:tcW w:w="675" w:type="dxa"/>
            <w:vAlign w:val="center"/>
          </w:tcPr>
          <w:p>
            <w:pPr>
              <w:jc w:val="center"/>
              <w:rPr>
                <w:rFonts w:ascii="宋体"/>
              </w:rPr>
            </w:pPr>
            <w:r>
              <w:rPr>
                <w:rFonts w:ascii="宋体" w:hAnsi="宋体" w:cs="宋体"/>
              </w:rPr>
              <w:t>3</w:t>
            </w:r>
          </w:p>
        </w:tc>
        <w:tc>
          <w:tcPr>
            <w:tcW w:w="1571" w:type="dxa"/>
            <w:vAlign w:val="center"/>
          </w:tcPr>
          <w:p>
            <w:pPr>
              <w:spacing w:line="300" w:lineRule="exact"/>
              <w:jc w:val="center"/>
              <w:rPr>
                <w:rFonts w:ascii="宋体" w:hAnsi="宋体" w:cstheme="minorBidi"/>
              </w:rPr>
            </w:pPr>
            <w:r>
              <w:rPr>
                <w:rFonts w:hint="eastAsia" w:ascii="宋体" w:hAnsi="宋体" w:cstheme="minorBidi"/>
              </w:rPr>
              <w:t>第十一章</w:t>
            </w:r>
          </w:p>
          <w:p>
            <w:pPr>
              <w:spacing w:line="300" w:lineRule="exact"/>
              <w:jc w:val="center"/>
              <w:rPr>
                <w:rFonts w:ascii="宋体" w:hAnsi="宋体" w:cstheme="minorBidi"/>
              </w:rPr>
            </w:pPr>
            <w:r>
              <w:rPr>
                <w:rFonts w:hint="eastAsia" w:ascii="宋体" w:hAnsi="宋体" w:cstheme="minorBidi"/>
              </w:rPr>
              <w:t>短期经济波动模型：产品市场和货币市场的共同均衡</w:t>
            </w:r>
          </w:p>
        </w:tc>
        <w:tc>
          <w:tcPr>
            <w:tcW w:w="3118" w:type="dxa"/>
            <w:vAlign w:val="center"/>
          </w:tcPr>
          <w:p>
            <w:pPr>
              <w:spacing w:line="300" w:lineRule="exact"/>
              <w:rPr>
                <w:rFonts w:ascii="宋体" w:hAnsi="宋体" w:cstheme="minorBidi"/>
              </w:rPr>
            </w:pPr>
            <w:r>
              <w:rPr>
                <w:rFonts w:hint="eastAsia" w:ascii="宋体" w:hAnsi="宋体" w:cstheme="minorBidi"/>
              </w:rPr>
              <w:t>1.掌握IS曲线的含义、推导、斜率及其变动</w:t>
            </w:r>
          </w:p>
          <w:p>
            <w:pPr>
              <w:spacing w:line="300" w:lineRule="exact"/>
              <w:rPr>
                <w:rFonts w:ascii="宋体" w:hAnsi="宋体" w:cstheme="minorBidi"/>
              </w:rPr>
            </w:pPr>
            <w:r>
              <w:rPr>
                <w:rFonts w:hint="eastAsia" w:ascii="宋体" w:hAnsi="宋体" w:cstheme="minorBidi"/>
              </w:rPr>
              <w:t>2.掌握LM曲线的含义和利率的决定、货币需求的决定、LM曲线的含义和推导、LM曲线的斜率和变动，会画出LM曲线的三个区域并理解其经济含义</w:t>
            </w:r>
          </w:p>
          <w:p>
            <w:pPr>
              <w:spacing w:line="300" w:lineRule="exact"/>
              <w:rPr>
                <w:rFonts w:ascii="宋体" w:hAnsi="宋体" w:cstheme="minorBidi"/>
              </w:rPr>
            </w:pPr>
            <w:r>
              <w:rPr>
                <w:rFonts w:hint="eastAsia" w:ascii="宋体" w:hAnsi="宋体" w:cstheme="minorBidi"/>
              </w:rPr>
              <w:t>3.理解产品市场和货币市场的共同均衡：IS-LM模型</w:t>
            </w:r>
          </w:p>
        </w:tc>
        <w:tc>
          <w:tcPr>
            <w:tcW w:w="2552" w:type="dxa"/>
            <w:vAlign w:val="center"/>
          </w:tcPr>
          <w:p>
            <w:pPr>
              <w:spacing w:line="300" w:lineRule="exact"/>
              <w:rPr>
                <w:rFonts w:ascii="宋体" w:hAnsi="宋体"/>
              </w:rPr>
            </w:pPr>
            <w:r>
              <w:rPr>
                <w:rFonts w:hint="eastAsia" w:ascii="宋体" w:hAnsi="宋体"/>
              </w:rPr>
              <w:t>1.IS曲线的含义和推导</w:t>
            </w:r>
          </w:p>
          <w:p>
            <w:pPr>
              <w:spacing w:line="300" w:lineRule="exact"/>
              <w:rPr>
                <w:rFonts w:ascii="宋体" w:hAnsi="宋体"/>
              </w:rPr>
            </w:pPr>
            <w:r>
              <w:rPr>
                <w:rFonts w:hint="eastAsia" w:ascii="宋体" w:hAnsi="宋体"/>
              </w:rPr>
              <w:t>2.IS曲线的斜率和变动</w:t>
            </w:r>
          </w:p>
          <w:p>
            <w:pPr>
              <w:spacing w:line="300" w:lineRule="exact"/>
              <w:rPr>
                <w:rFonts w:ascii="宋体" w:hAnsi="宋体"/>
              </w:rPr>
            </w:pPr>
            <w:r>
              <w:rPr>
                <w:rFonts w:hint="eastAsia" w:ascii="宋体" w:hAnsi="宋体"/>
              </w:rPr>
              <w:t>3.LM曲线的含义和推导</w:t>
            </w:r>
          </w:p>
          <w:p>
            <w:pPr>
              <w:spacing w:line="300" w:lineRule="exact"/>
              <w:rPr>
                <w:rFonts w:ascii="宋体" w:hAnsi="宋体"/>
              </w:rPr>
            </w:pPr>
            <w:r>
              <w:rPr>
                <w:rFonts w:hint="eastAsia" w:ascii="宋体" w:hAnsi="宋体"/>
              </w:rPr>
              <w:t>4.LM曲线的斜率和变动</w:t>
            </w:r>
          </w:p>
          <w:p>
            <w:pPr>
              <w:spacing w:line="300" w:lineRule="exact"/>
              <w:rPr>
                <w:rFonts w:ascii="宋体" w:hAnsi="宋体"/>
              </w:rPr>
            </w:pPr>
            <w:r>
              <w:rPr>
                <w:rFonts w:hint="eastAsia" w:ascii="宋体" w:hAnsi="宋体"/>
              </w:rPr>
              <w:t>5.产品市场和货币市场的共同均衡：IS-LM模型</w:t>
            </w:r>
          </w:p>
        </w:tc>
        <w:tc>
          <w:tcPr>
            <w:tcW w:w="2185" w:type="dxa"/>
            <w:vAlign w:val="center"/>
          </w:tcPr>
          <w:p>
            <w:pPr>
              <w:spacing w:line="300" w:lineRule="exact"/>
              <w:rPr>
                <w:rFonts w:ascii="宋体" w:hAnsi="宋体"/>
              </w:rPr>
            </w:pPr>
            <w:r>
              <w:rPr>
                <w:rFonts w:hint="eastAsia" w:ascii="宋体" w:hAnsi="宋体"/>
              </w:rPr>
              <w:t>1.产品市场和货币市场的共同均衡：IS-LM模型</w:t>
            </w:r>
          </w:p>
          <w:p>
            <w:pPr>
              <w:spacing w:line="300" w:lineRule="exact"/>
              <w:rPr>
                <w:rFonts w:ascii="宋体" w:hAnsi="宋体"/>
              </w:rPr>
            </w:pPr>
            <w:r>
              <w:rPr>
                <w:rFonts w:hint="eastAsia" w:ascii="宋体" w:hAnsi="宋体"/>
              </w:rPr>
              <w:t>2.产品市场和货币市场共同均衡的调整和变动</w:t>
            </w:r>
          </w:p>
          <w:p>
            <w:pPr>
              <w:spacing w:line="3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675" w:type="dxa"/>
            <w:vAlign w:val="center"/>
          </w:tcPr>
          <w:p>
            <w:pPr>
              <w:jc w:val="center"/>
              <w:rPr>
                <w:rFonts w:ascii="宋体"/>
              </w:rPr>
            </w:pPr>
            <w:r>
              <w:rPr>
                <w:rFonts w:ascii="宋体" w:hAnsi="宋体" w:cs="宋体"/>
              </w:rPr>
              <w:t>4</w:t>
            </w:r>
          </w:p>
        </w:tc>
        <w:tc>
          <w:tcPr>
            <w:tcW w:w="1571" w:type="dxa"/>
            <w:vAlign w:val="center"/>
          </w:tcPr>
          <w:p>
            <w:pPr>
              <w:spacing w:line="300" w:lineRule="exact"/>
              <w:jc w:val="center"/>
              <w:rPr>
                <w:rFonts w:ascii="宋体" w:hAnsi="宋体" w:cstheme="minorBidi"/>
              </w:rPr>
            </w:pPr>
            <w:r>
              <w:rPr>
                <w:rFonts w:hint="eastAsia" w:ascii="宋体" w:hAnsi="宋体" w:cstheme="minorBidi"/>
              </w:rPr>
              <w:t>第十二章</w:t>
            </w:r>
          </w:p>
          <w:p>
            <w:pPr>
              <w:spacing w:line="300" w:lineRule="exact"/>
              <w:jc w:val="center"/>
              <w:rPr>
                <w:rFonts w:ascii="宋体" w:hAnsi="宋体" w:cstheme="minorBidi"/>
              </w:rPr>
            </w:pPr>
            <w:r>
              <w:rPr>
                <w:rFonts w:hint="eastAsia" w:ascii="宋体" w:hAnsi="宋体" w:cstheme="minorBidi"/>
              </w:rPr>
              <w:t>短期经济波动模型：总需求-总供给分析</w:t>
            </w:r>
          </w:p>
        </w:tc>
        <w:tc>
          <w:tcPr>
            <w:tcW w:w="3118" w:type="dxa"/>
            <w:vAlign w:val="center"/>
          </w:tcPr>
          <w:p>
            <w:pPr>
              <w:spacing w:line="300" w:lineRule="exact"/>
              <w:rPr>
                <w:rFonts w:ascii="宋体" w:hAnsi="宋体" w:cstheme="minorBidi"/>
              </w:rPr>
            </w:pPr>
            <w:r>
              <w:rPr>
                <w:rFonts w:ascii="宋体" w:hAnsi="宋体" w:cstheme="minorBidi"/>
              </w:rPr>
              <w:t>掌握总供给和总需求函数的推导过程</w:t>
            </w:r>
          </w:p>
          <w:p>
            <w:pPr>
              <w:spacing w:line="300" w:lineRule="exact"/>
              <w:rPr>
                <w:rFonts w:ascii="宋体" w:hAnsi="宋体" w:cstheme="minorBidi"/>
              </w:rPr>
            </w:pPr>
            <w:r>
              <w:rPr>
                <w:rFonts w:hint="eastAsia" w:ascii="宋体" w:hAnsi="宋体" w:cstheme="minorBidi"/>
              </w:rPr>
              <w:t>2.</w:t>
            </w:r>
            <w:r>
              <w:rPr>
                <w:rFonts w:ascii="宋体" w:hAnsi="宋体" w:cstheme="minorBidi"/>
              </w:rPr>
              <w:t>了解长、短期总供给曲线的不同形状及成因</w:t>
            </w:r>
          </w:p>
          <w:p>
            <w:pPr>
              <w:widowControl/>
              <w:spacing w:line="300" w:lineRule="exact"/>
              <w:rPr>
                <w:rFonts w:ascii="宋体" w:hAnsi="宋体" w:cstheme="minorBidi"/>
              </w:rPr>
            </w:pPr>
            <w:r>
              <w:rPr>
                <w:rFonts w:hint="eastAsia" w:ascii="宋体" w:hAnsi="宋体" w:cstheme="minorBidi"/>
              </w:rPr>
              <w:t>3.掌握</w:t>
            </w:r>
            <w:r>
              <w:rPr>
                <w:rFonts w:ascii="宋体" w:hAnsi="宋体" w:cstheme="minorBidi"/>
              </w:rPr>
              <w:t>总需求-总供给模型的分析原理</w:t>
            </w:r>
          </w:p>
        </w:tc>
        <w:tc>
          <w:tcPr>
            <w:tcW w:w="2552" w:type="dxa"/>
            <w:vAlign w:val="center"/>
          </w:tcPr>
          <w:p>
            <w:pPr>
              <w:snapToGrid w:val="0"/>
              <w:spacing w:line="300" w:lineRule="exact"/>
              <w:rPr>
                <w:rFonts w:ascii="宋体" w:hAnsi="宋体"/>
              </w:rPr>
            </w:pPr>
            <w:r>
              <w:rPr>
                <w:rFonts w:hint="eastAsia" w:ascii="宋体" w:hAnsi="宋体"/>
              </w:rPr>
              <w:t>1.总需求曲线的推导</w:t>
            </w:r>
          </w:p>
          <w:p>
            <w:pPr>
              <w:snapToGrid w:val="0"/>
              <w:spacing w:line="300" w:lineRule="exact"/>
              <w:rPr>
                <w:rFonts w:ascii="宋体" w:hAnsi="宋体"/>
              </w:rPr>
            </w:pPr>
            <w:r>
              <w:rPr>
                <w:rFonts w:hint="eastAsia" w:ascii="宋体" w:hAnsi="宋体"/>
              </w:rPr>
              <w:t>2.总需求曲线的变动和影响因素</w:t>
            </w:r>
          </w:p>
          <w:p>
            <w:pPr>
              <w:snapToGrid w:val="0"/>
              <w:spacing w:line="300" w:lineRule="exact"/>
              <w:rPr>
                <w:rFonts w:ascii="宋体" w:hAnsi="宋体"/>
              </w:rPr>
            </w:pPr>
            <w:r>
              <w:rPr>
                <w:rFonts w:hint="eastAsia" w:ascii="宋体" w:hAnsi="宋体"/>
              </w:rPr>
              <w:t>3.总供给曲线的推导</w:t>
            </w:r>
          </w:p>
          <w:p>
            <w:pPr>
              <w:snapToGrid w:val="0"/>
              <w:spacing w:line="300" w:lineRule="exact"/>
              <w:rPr>
                <w:rFonts w:ascii="宋体" w:hAnsi="宋体"/>
              </w:rPr>
            </w:pPr>
            <w:r>
              <w:rPr>
                <w:rFonts w:hint="eastAsia" w:ascii="宋体" w:hAnsi="宋体"/>
              </w:rPr>
              <w:t>4.总需求-总供给模型对外来冲击的反应</w:t>
            </w:r>
          </w:p>
        </w:tc>
        <w:tc>
          <w:tcPr>
            <w:tcW w:w="2185" w:type="dxa"/>
            <w:vAlign w:val="center"/>
          </w:tcPr>
          <w:p>
            <w:pPr>
              <w:snapToGrid w:val="0"/>
              <w:spacing w:line="300" w:lineRule="exact"/>
              <w:rPr>
                <w:rFonts w:ascii="宋体" w:hAnsi="宋体"/>
              </w:rPr>
            </w:pPr>
            <w:r>
              <w:rPr>
                <w:rFonts w:hint="eastAsia" w:ascii="宋体" w:hAnsi="宋体"/>
              </w:rPr>
              <w:t>1.总需求曲线的变动和影响因素</w:t>
            </w:r>
          </w:p>
          <w:p>
            <w:pPr>
              <w:snapToGrid w:val="0"/>
              <w:spacing w:line="300" w:lineRule="exact"/>
              <w:rPr>
                <w:rFonts w:ascii="宋体" w:hAnsi="宋体"/>
              </w:rPr>
            </w:pPr>
            <w:r>
              <w:rPr>
                <w:rFonts w:hint="eastAsia" w:ascii="宋体" w:hAnsi="宋体"/>
              </w:rPr>
              <w:t>3.总供给曲线的推导</w:t>
            </w:r>
          </w:p>
          <w:p>
            <w:pPr>
              <w:spacing w:line="300" w:lineRule="exact"/>
              <w:rPr>
                <w:rFonts w:ascii="宋体" w:hAnsi="宋体"/>
              </w:rPr>
            </w:pPr>
            <w:r>
              <w:rPr>
                <w:rFonts w:hint="eastAsia" w:ascii="宋体" w:hAnsi="宋体"/>
              </w:rPr>
              <w:t>4.总需求-总供给模型对外来冲击的反应</w:t>
            </w:r>
          </w:p>
          <w:p>
            <w:pPr>
              <w:snapToGrid w:val="0"/>
              <w:spacing w:line="3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675" w:type="dxa"/>
            <w:vAlign w:val="center"/>
          </w:tcPr>
          <w:p>
            <w:pPr>
              <w:jc w:val="center"/>
              <w:rPr>
                <w:rFonts w:ascii="宋体"/>
              </w:rPr>
            </w:pPr>
            <w:r>
              <w:rPr>
                <w:rFonts w:ascii="宋体" w:hAnsi="宋体" w:cs="宋体"/>
              </w:rPr>
              <w:t>5</w:t>
            </w:r>
          </w:p>
        </w:tc>
        <w:tc>
          <w:tcPr>
            <w:tcW w:w="1571" w:type="dxa"/>
            <w:vAlign w:val="center"/>
          </w:tcPr>
          <w:p>
            <w:pPr>
              <w:spacing w:line="300" w:lineRule="exact"/>
              <w:jc w:val="center"/>
              <w:rPr>
                <w:rFonts w:ascii="宋体" w:hAnsi="宋体" w:cstheme="minorBidi"/>
              </w:rPr>
            </w:pPr>
            <w:r>
              <w:rPr>
                <w:rFonts w:hint="eastAsia" w:ascii="宋体" w:hAnsi="宋体" w:cstheme="minorBidi"/>
              </w:rPr>
              <w:t>第十三章</w:t>
            </w:r>
          </w:p>
          <w:p>
            <w:pPr>
              <w:spacing w:line="300" w:lineRule="exact"/>
              <w:jc w:val="center"/>
              <w:rPr>
                <w:rFonts w:ascii="宋体" w:hAnsi="宋体" w:cstheme="minorBidi"/>
              </w:rPr>
            </w:pPr>
            <w:r>
              <w:rPr>
                <w:rFonts w:hint="eastAsia" w:ascii="宋体" w:hAnsi="宋体" w:cstheme="minorBidi"/>
              </w:rPr>
              <w:t>失业、通货膨胀和经济周期</w:t>
            </w:r>
          </w:p>
        </w:tc>
        <w:tc>
          <w:tcPr>
            <w:tcW w:w="3118" w:type="dxa"/>
            <w:vAlign w:val="center"/>
          </w:tcPr>
          <w:p>
            <w:pPr>
              <w:spacing w:line="300" w:lineRule="exact"/>
              <w:rPr>
                <w:rFonts w:ascii="宋体" w:hAnsi="宋体" w:cstheme="minorBidi"/>
              </w:rPr>
            </w:pPr>
            <w:r>
              <w:rPr>
                <w:rFonts w:hint="eastAsia" w:ascii="宋体" w:hAnsi="宋体" w:cstheme="minorBidi"/>
              </w:rPr>
              <w:t>1.</w:t>
            </w:r>
            <w:r>
              <w:rPr>
                <w:rFonts w:ascii="宋体" w:hAnsi="宋体" w:cstheme="minorBidi"/>
              </w:rPr>
              <w:t>掌握通货膨胀、失业、奥肯定律的内涵</w:t>
            </w:r>
          </w:p>
          <w:p>
            <w:pPr>
              <w:spacing w:line="300" w:lineRule="exact"/>
              <w:rPr>
                <w:rFonts w:ascii="宋体" w:hAnsi="宋体" w:cstheme="minorBidi"/>
              </w:rPr>
            </w:pPr>
            <w:r>
              <w:rPr>
                <w:rFonts w:hint="eastAsia" w:ascii="宋体" w:hAnsi="宋体" w:cstheme="minorBidi"/>
              </w:rPr>
              <w:t>2.掌握</w:t>
            </w:r>
            <w:r>
              <w:rPr>
                <w:rFonts w:ascii="宋体" w:hAnsi="宋体" w:cstheme="minorBidi"/>
              </w:rPr>
              <w:t>通货膨胀的</w:t>
            </w:r>
            <w:r>
              <w:rPr>
                <w:rFonts w:hint="eastAsia" w:ascii="宋体" w:hAnsi="宋体" w:cstheme="minorBidi"/>
              </w:rPr>
              <w:t>类型和原</w:t>
            </w:r>
            <w:r>
              <w:rPr>
                <w:rFonts w:ascii="宋体" w:hAnsi="宋体" w:cstheme="minorBidi"/>
              </w:rPr>
              <w:t>因</w:t>
            </w:r>
          </w:p>
          <w:p>
            <w:pPr>
              <w:spacing w:line="300" w:lineRule="exact"/>
              <w:rPr>
                <w:rFonts w:ascii="宋体" w:hAnsi="宋体" w:cstheme="minorBidi"/>
              </w:rPr>
            </w:pPr>
            <w:r>
              <w:rPr>
                <w:rFonts w:hint="eastAsia" w:ascii="宋体" w:hAnsi="宋体" w:cstheme="minorBidi"/>
              </w:rPr>
              <w:t>3.理解</w:t>
            </w:r>
            <w:r>
              <w:rPr>
                <w:rFonts w:ascii="宋体" w:hAnsi="宋体" w:cstheme="minorBidi"/>
              </w:rPr>
              <w:t>菲利普斯曲线</w:t>
            </w:r>
            <w:r>
              <w:rPr>
                <w:rFonts w:hint="eastAsia" w:ascii="宋体" w:hAnsi="宋体" w:cstheme="minorBidi"/>
              </w:rPr>
              <w:t>的含义和预期理论</w:t>
            </w:r>
          </w:p>
          <w:p>
            <w:pPr>
              <w:spacing w:line="300" w:lineRule="exact"/>
              <w:rPr>
                <w:rFonts w:ascii="宋体" w:hAnsi="宋体" w:cstheme="minorBidi"/>
              </w:rPr>
            </w:pPr>
            <w:r>
              <w:rPr>
                <w:rFonts w:hint="eastAsia" w:ascii="宋体" w:hAnsi="宋体" w:cstheme="minorBidi"/>
              </w:rPr>
              <w:t>4.了解</w:t>
            </w:r>
            <w:r>
              <w:rPr>
                <w:rFonts w:ascii="宋体" w:hAnsi="宋体" w:cstheme="minorBidi"/>
              </w:rPr>
              <w:t>失业的分类</w:t>
            </w:r>
          </w:p>
          <w:p>
            <w:pPr>
              <w:spacing w:line="300" w:lineRule="exact"/>
              <w:rPr>
                <w:rFonts w:ascii="宋体" w:hAnsi="宋体" w:cstheme="minorBidi"/>
              </w:rPr>
            </w:pPr>
            <w:r>
              <w:rPr>
                <w:rFonts w:hint="eastAsia" w:ascii="宋体" w:hAnsi="宋体" w:cstheme="minorBidi"/>
              </w:rPr>
              <w:t>5.理解经济周期的阶段和类型</w:t>
            </w:r>
          </w:p>
        </w:tc>
        <w:tc>
          <w:tcPr>
            <w:tcW w:w="2552" w:type="dxa"/>
            <w:vAlign w:val="center"/>
          </w:tcPr>
          <w:p>
            <w:pPr>
              <w:spacing w:line="300" w:lineRule="exact"/>
              <w:rPr>
                <w:rFonts w:ascii="宋体" w:hAnsi="宋体"/>
              </w:rPr>
            </w:pPr>
            <w:r>
              <w:rPr>
                <w:rFonts w:hint="eastAsia" w:ascii="宋体" w:hAnsi="宋体"/>
              </w:rPr>
              <w:t>1.</w:t>
            </w:r>
            <w:r>
              <w:rPr>
                <w:rFonts w:ascii="宋体" w:hAnsi="宋体"/>
              </w:rPr>
              <w:t>通货膨胀的成因</w:t>
            </w:r>
          </w:p>
          <w:p>
            <w:pPr>
              <w:spacing w:line="300" w:lineRule="exact"/>
              <w:rPr>
                <w:rFonts w:ascii="宋体" w:hAnsi="宋体"/>
              </w:rPr>
            </w:pPr>
            <w:r>
              <w:rPr>
                <w:rFonts w:hint="eastAsia" w:ascii="宋体" w:hAnsi="宋体"/>
              </w:rPr>
              <w:t>2.</w:t>
            </w:r>
            <w:r>
              <w:rPr>
                <w:rFonts w:ascii="宋体" w:hAnsi="宋体"/>
              </w:rPr>
              <w:t>奥肯定律</w:t>
            </w:r>
          </w:p>
          <w:p>
            <w:pPr>
              <w:spacing w:line="300" w:lineRule="exact"/>
              <w:rPr>
                <w:rFonts w:ascii="宋体" w:hAnsi="宋体"/>
              </w:rPr>
            </w:pPr>
            <w:r>
              <w:rPr>
                <w:rFonts w:hint="eastAsia" w:ascii="宋体" w:hAnsi="宋体"/>
              </w:rPr>
              <w:t>3.</w:t>
            </w:r>
            <w:r>
              <w:rPr>
                <w:rFonts w:ascii="宋体" w:hAnsi="宋体"/>
              </w:rPr>
              <w:t>菲利普斯曲线的含义和预期理论</w:t>
            </w:r>
          </w:p>
        </w:tc>
        <w:tc>
          <w:tcPr>
            <w:tcW w:w="2185" w:type="dxa"/>
            <w:vAlign w:val="center"/>
          </w:tcPr>
          <w:p>
            <w:pPr>
              <w:spacing w:line="300" w:lineRule="exact"/>
              <w:rPr>
                <w:rFonts w:ascii="宋体" w:hAnsi="宋体"/>
              </w:rPr>
            </w:pPr>
            <w:r>
              <w:rPr>
                <w:rFonts w:hint="eastAsia" w:ascii="宋体" w:hAnsi="宋体"/>
              </w:rPr>
              <w:t>1.</w:t>
            </w:r>
            <w:r>
              <w:rPr>
                <w:rFonts w:ascii="宋体" w:hAnsi="宋体"/>
              </w:rPr>
              <w:t>通货膨胀的成因</w:t>
            </w:r>
          </w:p>
          <w:p>
            <w:pPr>
              <w:spacing w:line="300" w:lineRule="exact"/>
              <w:rPr>
                <w:rFonts w:ascii="宋体" w:hAnsi="宋体"/>
              </w:rPr>
            </w:pPr>
            <w:r>
              <w:rPr>
                <w:rFonts w:hint="eastAsia" w:ascii="宋体" w:hAnsi="宋体"/>
              </w:rPr>
              <w:t>2.</w:t>
            </w:r>
            <w:r>
              <w:rPr>
                <w:rFonts w:ascii="宋体" w:hAnsi="宋体"/>
              </w:rPr>
              <w:t>菲利普斯曲线的含义和预期理论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675" w:type="dxa"/>
            <w:vAlign w:val="center"/>
          </w:tcPr>
          <w:p>
            <w:pPr>
              <w:jc w:val="center"/>
              <w:rPr>
                <w:rFonts w:ascii="宋体"/>
              </w:rPr>
            </w:pPr>
            <w:r>
              <w:rPr>
                <w:rFonts w:ascii="宋体" w:hAnsi="宋体" w:cs="宋体"/>
              </w:rPr>
              <w:t>6</w:t>
            </w:r>
          </w:p>
        </w:tc>
        <w:tc>
          <w:tcPr>
            <w:tcW w:w="1571" w:type="dxa"/>
            <w:vAlign w:val="center"/>
          </w:tcPr>
          <w:p>
            <w:pPr>
              <w:spacing w:line="300" w:lineRule="exact"/>
              <w:jc w:val="center"/>
              <w:rPr>
                <w:rFonts w:ascii="宋体" w:hAnsi="宋体" w:cstheme="minorBidi"/>
              </w:rPr>
            </w:pPr>
            <w:r>
              <w:rPr>
                <w:rFonts w:ascii="宋体" w:hAnsi="宋体" w:cstheme="minorBidi"/>
              </w:rPr>
              <w:t>第</w:t>
            </w:r>
            <w:r>
              <w:rPr>
                <w:rFonts w:hint="eastAsia" w:ascii="宋体" w:hAnsi="宋体" w:cstheme="minorBidi"/>
              </w:rPr>
              <w:t>十四</w:t>
            </w:r>
            <w:r>
              <w:rPr>
                <w:rFonts w:ascii="宋体" w:hAnsi="宋体" w:cstheme="minorBidi"/>
              </w:rPr>
              <w:t>章</w:t>
            </w:r>
          </w:p>
          <w:p>
            <w:pPr>
              <w:spacing w:line="300" w:lineRule="exact"/>
              <w:jc w:val="center"/>
              <w:rPr>
                <w:rFonts w:ascii="宋体" w:hAnsi="宋体" w:cstheme="minorBidi"/>
              </w:rPr>
            </w:pPr>
            <w:r>
              <w:rPr>
                <w:rFonts w:hint="eastAsia" w:ascii="宋体" w:hAnsi="宋体" w:cstheme="minorBidi"/>
              </w:rPr>
              <w:t>经济增长和经济发展</w:t>
            </w:r>
          </w:p>
        </w:tc>
        <w:tc>
          <w:tcPr>
            <w:tcW w:w="3118" w:type="dxa"/>
            <w:vAlign w:val="center"/>
          </w:tcPr>
          <w:p>
            <w:pPr>
              <w:spacing w:line="300" w:lineRule="exact"/>
              <w:rPr>
                <w:rFonts w:ascii="宋体" w:hAnsi="宋体" w:cstheme="minorBidi"/>
              </w:rPr>
            </w:pPr>
            <w:r>
              <w:rPr>
                <w:rFonts w:hint="eastAsia" w:ascii="宋体" w:hAnsi="宋体" w:cstheme="minorBidi"/>
              </w:rPr>
              <w:t>1.了解经济增长的定义及基本问题</w:t>
            </w:r>
          </w:p>
          <w:p>
            <w:pPr>
              <w:spacing w:line="300" w:lineRule="exact"/>
              <w:rPr>
                <w:rFonts w:ascii="宋体" w:hAnsi="宋体" w:cstheme="minorBidi"/>
              </w:rPr>
            </w:pPr>
            <w:r>
              <w:rPr>
                <w:rFonts w:hint="eastAsia" w:ascii="宋体" w:hAnsi="宋体" w:cstheme="minorBidi"/>
              </w:rPr>
              <w:t>2.理解增长核算方程并能够据此分析经济增长因素</w:t>
            </w:r>
          </w:p>
          <w:p>
            <w:pPr>
              <w:spacing w:line="300" w:lineRule="exact"/>
              <w:rPr>
                <w:rFonts w:ascii="宋体" w:hAnsi="宋体" w:cstheme="minorBidi"/>
              </w:rPr>
            </w:pPr>
            <w:r>
              <w:rPr>
                <w:rFonts w:hint="eastAsia" w:ascii="宋体" w:hAnsi="宋体" w:cstheme="minorBidi"/>
              </w:rPr>
              <w:t>3.掌握没有技术进步的新古典增长模型及具有技术进步的新古典增长模型</w:t>
            </w:r>
          </w:p>
          <w:p>
            <w:pPr>
              <w:spacing w:line="300" w:lineRule="exact"/>
              <w:rPr>
                <w:rFonts w:ascii="宋体" w:hAnsi="宋体" w:cstheme="minorBidi"/>
              </w:rPr>
            </w:pPr>
            <w:r>
              <w:rPr>
                <w:rFonts w:hint="eastAsia" w:ascii="宋体" w:hAnsi="宋体" w:cstheme="minorBidi"/>
              </w:rPr>
              <w:t>4.熟悉内生增长理论的基本思路及促进经济增长的政策</w:t>
            </w:r>
          </w:p>
          <w:p>
            <w:pPr>
              <w:spacing w:line="300" w:lineRule="exact"/>
              <w:rPr>
                <w:rFonts w:ascii="宋体" w:hAnsi="宋体" w:cstheme="minorBidi"/>
              </w:rPr>
            </w:pPr>
            <w:r>
              <w:rPr>
                <w:rFonts w:hint="eastAsia" w:ascii="宋体" w:hAnsi="宋体" w:cstheme="minorBidi"/>
              </w:rPr>
              <w:t>5.了解经济发展指标要素及发展战略</w:t>
            </w:r>
          </w:p>
        </w:tc>
        <w:tc>
          <w:tcPr>
            <w:tcW w:w="2552" w:type="dxa"/>
            <w:vAlign w:val="center"/>
          </w:tcPr>
          <w:p>
            <w:pPr>
              <w:snapToGrid w:val="0"/>
              <w:spacing w:line="300" w:lineRule="exact"/>
              <w:rPr>
                <w:rFonts w:ascii="宋体" w:hAnsi="宋体"/>
              </w:rPr>
            </w:pPr>
            <w:r>
              <w:rPr>
                <w:rFonts w:hint="eastAsia" w:ascii="宋体" w:hAnsi="宋体"/>
              </w:rPr>
              <w:t>1.增长核算方程和经济增长因素分析</w:t>
            </w:r>
          </w:p>
          <w:p>
            <w:pPr>
              <w:snapToGrid w:val="0"/>
              <w:spacing w:line="300" w:lineRule="exact"/>
              <w:rPr>
                <w:rFonts w:ascii="宋体" w:hAnsi="宋体"/>
              </w:rPr>
            </w:pPr>
            <w:r>
              <w:rPr>
                <w:rFonts w:hint="eastAsia" w:ascii="宋体" w:hAnsi="宋体"/>
              </w:rPr>
              <w:t>2.没有技术进步的新古典增长模型及具有技术进步的新古典增长模型</w:t>
            </w:r>
          </w:p>
          <w:p>
            <w:pPr>
              <w:snapToGrid w:val="0"/>
              <w:spacing w:line="300" w:lineRule="exact"/>
              <w:rPr>
                <w:rFonts w:ascii="宋体" w:hAnsi="宋体"/>
              </w:rPr>
            </w:pPr>
            <w:r>
              <w:rPr>
                <w:rFonts w:hint="eastAsia" w:ascii="宋体" w:hAnsi="宋体"/>
              </w:rPr>
              <w:t>3.内生增长理论的基本思路</w:t>
            </w:r>
          </w:p>
          <w:p>
            <w:pPr>
              <w:snapToGrid w:val="0"/>
              <w:spacing w:line="300" w:lineRule="exact"/>
              <w:rPr>
                <w:rFonts w:ascii="宋体" w:hAnsi="宋体"/>
              </w:rPr>
            </w:pPr>
            <w:r>
              <w:rPr>
                <w:rFonts w:hint="eastAsia" w:ascii="宋体" w:hAnsi="宋体"/>
              </w:rPr>
              <w:t>4.促进经济增长的政策分析</w:t>
            </w:r>
          </w:p>
        </w:tc>
        <w:tc>
          <w:tcPr>
            <w:tcW w:w="2185" w:type="dxa"/>
            <w:vAlign w:val="center"/>
          </w:tcPr>
          <w:p>
            <w:pPr>
              <w:snapToGrid w:val="0"/>
              <w:spacing w:line="300" w:lineRule="exact"/>
              <w:rPr>
                <w:rFonts w:ascii="宋体" w:hAnsi="宋体"/>
              </w:rPr>
            </w:pPr>
            <w:r>
              <w:rPr>
                <w:rFonts w:hint="eastAsia" w:ascii="宋体" w:hAnsi="宋体"/>
              </w:rPr>
              <w:t>1.增长核算公式的构成及其经济意义的解释</w:t>
            </w:r>
          </w:p>
          <w:p>
            <w:pPr>
              <w:snapToGrid w:val="0"/>
              <w:spacing w:line="300" w:lineRule="exact"/>
              <w:rPr>
                <w:rFonts w:ascii="宋体" w:hAnsi="宋体"/>
              </w:rPr>
            </w:pPr>
            <w:r>
              <w:rPr>
                <w:rFonts w:hint="eastAsia" w:ascii="宋体" w:hAnsi="宋体"/>
              </w:rPr>
              <w:t>2.新古典增长模型的基本方程式及稳态条件</w:t>
            </w:r>
          </w:p>
          <w:p>
            <w:pPr>
              <w:snapToGrid w:val="0"/>
              <w:spacing w:line="300" w:lineRule="exact"/>
              <w:rPr>
                <w:rFonts w:ascii="宋体" w:hAnsi="宋体"/>
              </w:rPr>
            </w:pPr>
            <w:r>
              <w:rPr>
                <w:rFonts w:hint="eastAsia" w:ascii="宋体" w:hAnsi="宋体"/>
              </w:rPr>
              <w:t>3.影响稳态的因素分析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jc w:val="center"/>
        </w:trPr>
        <w:tc>
          <w:tcPr>
            <w:tcW w:w="675" w:type="dxa"/>
            <w:vAlign w:val="center"/>
          </w:tcPr>
          <w:p>
            <w:pPr>
              <w:jc w:val="center"/>
              <w:rPr>
                <w:rFonts w:ascii="宋体"/>
              </w:rPr>
            </w:pPr>
            <w:r>
              <w:rPr>
                <w:rFonts w:ascii="宋体" w:hAnsi="宋体" w:cs="宋体"/>
              </w:rPr>
              <w:t>7</w:t>
            </w:r>
          </w:p>
        </w:tc>
        <w:tc>
          <w:tcPr>
            <w:tcW w:w="1571" w:type="dxa"/>
            <w:vAlign w:val="center"/>
          </w:tcPr>
          <w:p>
            <w:pPr>
              <w:spacing w:line="300" w:lineRule="exact"/>
              <w:jc w:val="center"/>
              <w:rPr>
                <w:rFonts w:ascii="宋体" w:hAnsi="宋体" w:cstheme="minorBidi"/>
              </w:rPr>
            </w:pPr>
            <w:r>
              <w:rPr>
                <w:rFonts w:ascii="宋体" w:hAnsi="宋体" w:cstheme="minorBidi"/>
              </w:rPr>
              <w:t>第</w:t>
            </w:r>
            <w:r>
              <w:rPr>
                <w:rFonts w:hint="eastAsia" w:ascii="宋体" w:hAnsi="宋体" w:cstheme="minorBidi"/>
              </w:rPr>
              <w:t>十五</w:t>
            </w:r>
            <w:r>
              <w:rPr>
                <w:rFonts w:ascii="宋体" w:hAnsi="宋体" w:cstheme="minorBidi"/>
              </w:rPr>
              <w:t>章</w:t>
            </w:r>
          </w:p>
          <w:p>
            <w:pPr>
              <w:spacing w:line="300" w:lineRule="exact"/>
              <w:jc w:val="center"/>
              <w:rPr>
                <w:rFonts w:ascii="宋体" w:hAnsi="宋体" w:cstheme="minorBidi"/>
              </w:rPr>
            </w:pPr>
            <w:r>
              <w:rPr>
                <w:rFonts w:hint="eastAsia" w:ascii="宋体" w:hAnsi="宋体" w:cstheme="minorBidi"/>
              </w:rPr>
              <w:t>开放经济的宏观经济学</w:t>
            </w:r>
          </w:p>
        </w:tc>
        <w:tc>
          <w:tcPr>
            <w:tcW w:w="3118" w:type="dxa"/>
            <w:vAlign w:val="center"/>
          </w:tcPr>
          <w:p>
            <w:pPr>
              <w:spacing w:line="300" w:lineRule="exact"/>
              <w:rPr>
                <w:rFonts w:ascii="宋体" w:hAnsi="宋体" w:cstheme="minorBidi"/>
              </w:rPr>
            </w:pPr>
            <w:r>
              <w:rPr>
                <w:rFonts w:hint="eastAsia" w:ascii="宋体" w:hAnsi="宋体" w:cstheme="minorBidi"/>
              </w:rPr>
              <w:t>1.理解汇率及其标价方法；</w:t>
            </w:r>
          </w:p>
          <w:p>
            <w:pPr>
              <w:spacing w:line="300" w:lineRule="exact"/>
              <w:rPr>
                <w:rFonts w:ascii="宋体" w:hAnsi="宋体" w:cstheme="minorBidi"/>
              </w:rPr>
            </w:pPr>
            <w:r>
              <w:rPr>
                <w:rFonts w:hint="eastAsia" w:ascii="宋体" w:hAnsi="宋体" w:cstheme="minorBidi"/>
              </w:rPr>
              <w:t>2.熟悉名义汇率与实际汇率的换算关系；</w:t>
            </w:r>
          </w:p>
          <w:p>
            <w:pPr>
              <w:spacing w:line="300" w:lineRule="exact"/>
              <w:rPr>
                <w:rFonts w:ascii="宋体" w:hAnsi="宋体" w:cstheme="minorBidi"/>
              </w:rPr>
            </w:pPr>
            <w:r>
              <w:rPr>
                <w:rFonts w:hint="eastAsia" w:ascii="宋体" w:hAnsi="宋体" w:cstheme="minorBidi"/>
              </w:rPr>
              <w:t>3.了解蒙代尔-弗莱明模型；</w:t>
            </w:r>
          </w:p>
          <w:p>
            <w:pPr>
              <w:spacing w:line="300" w:lineRule="exact"/>
              <w:rPr>
                <w:rFonts w:ascii="宋体" w:hAnsi="宋体" w:cstheme="minorBidi"/>
              </w:rPr>
            </w:pPr>
            <w:r>
              <w:rPr>
                <w:rFonts w:hint="eastAsia" w:ascii="宋体" w:hAnsi="宋体" w:cstheme="minorBidi"/>
              </w:rPr>
              <w:t>4.掌握固定汇率制度与浮动汇率制度下财政政策与货币政策的政策效果。</w:t>
            </w:r>
          </w:p>
        </w:tc>
        <w:tc>
          <w:tcPr>
            <w:tcW w:w="2552" w:type="dxa"/>
            <w:vAlign w:val="center"/>
          </w:tcPr>
          <w:p>
            <w:pPr>
              <w:spacing w:line="300" w:lineRule="exact"/>
              <w:rPr>
                <w:rFonts w:ascii="宋体" w:hAnsi="宋体"/>
              </w:rPr>
            </w:pPr>
            <w:r>
              <w:rPr>
                <w:rFonts w:hint="eastAsia" w:ascii="宋体" w:hAnsi="宋体"/>
              </w:rPr>
              <w:t>1.</w:t>
            </w:r>
            <w:r>
              <w:rPr>
                <w:rFonts w:ascii="宋体" w:hAnsi="宋体"/>
              </w:rPr>
              <w:t>汇率的</w:t>
            </w:r>
            <w:r>
              <w:rPr>
                <w:rFonts w:hint="eastAsia" w:ascii="宋体" w:hAnsi="宋体"/>
              </w:rPr>
              <w:t>定义</w:t>
            </w:r>
            <w:r>
              <w:rPr>
                <w:rFonts w:ascii="宋体" w:hAnsi="宋体"/>
              </w:rPr>
              <w:t>、标价及汇率制度</w:t>
            </w:r>
            <w:r>
              <w:rPr>
                <w:rFonts w:hint="eastAsia" w:ascii="宋体" w:hAnsi="宋体"/>
              </w:rPr>
              <w:t>；</w:t>
            </w:r>
          </w:p>
          <w:p>
            <w:pPr>
              <w:spacing w:line="300" w:lineRule="exact"/>
              <w:rPr>
                <w:rFonts w:ascii="宋体" w:hAnsi="宋体"/>
              </w:rPr>
            </w:pPr>
            <w:r>
              <w:rPr>
                <w:rFonts w:hint="eastAsia" w:ascii="宋体" w:hAnsi="宋体"/>
              </w:rPr>
              <w:t>2.</w:t>
            </w:r>
            <w:r>
              <w:rPr>
                <w:rFonts w:ascii="宋体" w:hAnsi="宋体"/>
              </w:rPr>
              <w:t>蒙代尔</w:t>
            </w:r>
            <w:r>
              <w:rPr>
                <w:rFonts w:hint="eastAsia" w:ascii="宋体" w:hAnsi="宋体"/>
              </w:rPr>
              <w:t>-弗莱明</w:t>
            </w:r>
            <w:r>
              <w:rPr>
                <w:rFonts w:ascii="宋体" w:hAnsi="宋体"/>
              </w:rPr>
              <w:t>模型的</w:t>
            </w:r>
            <w:r>
              <w:rPr>
                <w:rFonts w:hint="eastAsia" w:ascii="宋体" w:hAnsi="宋体"/>
              </w:rPr>
              <w:t>提出</w:t>
            </w:r>
            <w:r>
              <w:rPr>
                <w:rFonts w:ascii="宋体" w:hAnsi="宋体"/>
              </w:rPr>
              <w:t>及模型形式；</w:t>
            </w:r>
          </w:p>
          <w:p>
            <w:pPr>
              <w:snapToGrid w:val="0"/>
              <w:spacing w:line="300" w:lineRule="exact"/>
              <w:rPr>
                <w:rFonts w:ascii="宋体" w:hAnsi="宋体"/>
              </w:rPr>
            </w:pPr>
            <w:r>
              <w:rPr>
                <w:rFonts w:hint="eastAsia" w:ascii="宋体" w:hAnsi="宋体"/>
              </w:rPr>
              <w:t>3.固定</w:t>
            </w:r>
            <w:r>
              <w:rPr>
                <w:rFonts w:ascii="宋体" w:hAnsi="宋体"/>
              </w:rPr>
              <w:t>汇率制度与浮动汇率制度下的</w:t>
            </w:r>
            <w:r>
              <w:rPr>
                <w:rFonts w:hint="eastAsia" w:ascii="宋体" w:hAnsi="宋体"/>
              </w:rPr>
              <w:t>财政</w:t>
            </w:r>
            <w:r>
              <w:rPr>
                <w:rFonts w:ascii="宋体" w:hAnsi="宋体"/>
              </w:rPr>
              <w:t>政策和货币政策</w:t>
            </w:r>
            <w:r>
              <w:rPr>
                <w:rFonts w:hint="eastAsia" w:ascii="宋体" w:hAnsi="宋体"/>
              </w:rPr>
              <w:t>效果</w:t>
            </w:r>
            <w:r>
              <w:rPr>
                <w:rFonts w:ascii="宋体" w:hAnsi="宋体"/>
              </w:rPr>
              <w:t>分析</w:t>
            </w:r>
            <w:r>
              <w:rPr>
                <w:rFonts w:hint="eastAsia" w:ascii="宋体" w:hAnsi="宋体"/>
              </w:rPr>
              <w:t>。</w:t>
            </w:r>
          </w:p>
        </w:tc>
        <w:tc>
          <w:tcPr>
            <w:tcW w:w="2185" w:type="dxa"/>
            <w:vAlign w:val="center"/>
          </w:tcPr>
          <w:p>
            <w:pPr>
              <w:spacing w:line="300" w:lineRule="exact"/>
              <w:rPr>
                <w:rFonts w:ascii="宋体" w:hAnsi="宋体"/>
              </w:rPr>
            </w:pPr>
            <w:r>
              <w:rPr>
                <w:rFonts w:hint="eastAsia" w:ascii="宋体" w:hAnsi="宋体"/>
              </w:rPr>
              <w:t>1.名义</w:t>
            </w:r>
            <w:r>
              <w:rPr>
                <w:rFonts w:ascii="宋体" w:hAnsi="宋体"/>
              </w:rPr>
              <w:t>汇率与实际汇率的换算关系推导；</w:t>
            </w:r>
          </w:p>
          <w:p>
            <w:pPr>
              <w:spacing w:line="300" w:lineRule="exact"/>
              <w:rPr>
                <w:rFonts w:ascii="宋体" w:hAnsi="宋体"/>
              </w:rPr>
            </w:pPr>
            <w:r>
              <w:rPr>
                <w:rFonts w:hint="eastAsia" w:ascii="宋体" w:hAnsi="宋体"/>
              </w:rPr>
              <w:t>2.</w:t>
            </w:r>
            <w:r>
              <w:rPr>
                <w:rFonts w:ascii="宋体" w:hAnsi="宋体"/>
              </w:rPr>
              <w:t>两种不同汇率制度下的财政政策与货币政策效果</w:t>
            </w:r>
            <w:r>
              <w:rPr>
                <w:rFonts w:hint="eastAsia" w:ascii="宋体" w:hAnsi="宋体"/>
              </w:rPr>
              <w:t>对比</w:t>
            </w:r>
            <w:r>
              <w:rPr>
                <w:rFonts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5" w:hRule="atLeast"/>
          <w:jc w:val="center"/>
        </w:trPr>
        <w:tc>
          <w:tcPr>
            <w:tcW w:w="675" w:type="dxa"/>
            <w:vAlign w:val="center"/>
          </w:tcPr>
          <w:p>
            <w:pPr>
              <w:jc w:val="center"/>
              <w:rPr>
                <w:rFonts w:ascii="宋体"/>
              </w:rPr>
            </w:pPr>
            <w:r>
              <w:rPr>
                <w:rFonts w:ascii="宋体" w:hAnsi="宋体" w:cs="宋体"/>
              </w:rPr>
              <w:t>8</w:t>
            </w:r>
          </w:p>
        </w:tc>
        <w:tc>
          <w:tcPr>
            <w:tcW w:w="1571" w:type="dxa"/>
            <w:vAlign w:val="center"/>
          </w:tcPr>
          <w:p>
            <w:pPr>
              <w:spacing w:line="300" w:lineRule="exact"/>
              <w:jc w:val="center"/>
              <w:rPr>
                <w:rFonts w:ascii="宋体" w:hAnsi="宋体" w:cstheme="minorBidi"/>
              </w:rPr>
            </w:pPr>
            <w:r>
              <w:rPr>
                <w:rFonts w:ascii="宋体" w:hAnsi="宋体" w:cstheme="minorBidi"/>
              </w:rPr>
              <w:t>第</w:t>
            </w:r>
            <w:r>
              <w:rPr>
                <w:rFonts w:hint="eastAsia" w:ascii="宋体" w:hAnsi="宋体" w:cstheme="minorBidi"/>
              </w:rPr>
              <w:t>十六</w:t>
            </w:r>
            <w:r>
              <w:rPr>
                <w:rFonts w:ascii="宋体" w:hAnsi="宋体" w:cstheme="minorBidi"/>
              </w:rPr>
              <w:t>章</w:t>
            </w:r>
          </w:p>
          <w:p>
            <w:pPr>
              <w:spacing w:line="300" w:lineRule="exact"/>
              <w:jc w:val="center"/>
              <w:rPr>
                <w:rFonts w:ascii="宋体" w:hAnsi="宋体" w:cstheme="minorBidi"/>
              </w:rPr>
            </w:pPr>
            <w:r>
              <w:rPr>
                <w:rFonts w:hint="eastAsia" w:ascii="宋体" w:hAnsi="宋体" w:cstheme="minorBidi"/>
              </w:rPr>
              <w:t>宏观经济政策</w:t>
            </w:r>
          </w:p>
        </w:tc>
        <w:tc>
          <w:tcPr>
            <w:tcW w:w="3118" w:type="dxa"/>
            <w:vAlign w:val="center"/>
          </w:tcPr>
          <w:p>
            <w:pPr>
              <w:spacing w:line="300" w:lineRule="exact"/>
              <w:rPr>
                <w:rFonts w:ascii="宋体" w:hAnsi="宋体" w:cstheme="minorBidi"/>
              </w:rPr>
            </w:pPr>
            <w:r>
              <w:rPr>
                <w:rFonts w:hint="eastAsia" w:ascii="宋体" w:hAnsi="宋体" w:cstheme="minorBidi"/>
              </w:rPr>
              <w:t>1.理解并掌握宏观经济理论在实际经济中的应用；</w:t>
            </w:r>
          </w:p>
          <w:p>
            <w:pPr>
              <w:spacing w:line="300" w:lineRule="exact"/>
              <w:rPr>
                <w:rFonts w:ascii="宋体" w:hAnsi="宋体" w:cstheme="minorBidi"/>
              </w:rPr>
            </w:pPr>
            <w:r>
              <w:rPr>
                <w:rFonts w:hint="eastAsia" w:ascii="宋体" w:hAnsi="宋体" w:cstheme="minorBidi"/>
              </w:rPr>
              <w:t>2.熟悉财政政策和货币政策等主要宏观经济政策工具；</w:t>
            </w:r>
          </w:p>
          <w:p>
            <w:pPr>
              <w:snapToGrid w:val="0"/>
              <w:spacing w:line="300" w:lineRule="exact"/>
              <w:rPr>
                <w:rFonts w:ascii="宋体" w:hAnsi="宋体" w:cstheme="minorBidi"/>
              </w:rPr>
            </w:pPr>
            <w:r>
              <w:rPr>
                <w:rFonts w:hint="eastAsia" w:ascii="宋体" w:hAnsi="宋体" w:cstheme="minorBidi"/>
              </w:rPr>
              <w:t>3.能针对国民经济中的一些经济现象提出相应对策。</w:t>
            </w:r>
          </w:p>
        </w:tc>
        <w:tc>
          <w:tcPr>
            <w:tcW w:w="2552" w:type="dxa"/>
            <w:vAlign w:val="center"/>
          </w:tcPr>
          <w:p>
            <w:pPr>
              <w:spacing w:line="300" w:lineRule="exact"/>
              <w:rPr>
                <w:rFonts w:ascii="宋体" w:hAnsi="宋体"/>
              </w:rPr>
            </w:pPr>
            <w:r>
              <w:rPr>
                <w:rFonts w:hint="eastAsia" w:ascii="宋体" w:hAnsi="宋体"/>
              </w:rPr>
              <w:t>1.财政政策和货币政策的工具；</w:t>
            </w:r>
          </w:p>
          <w:p>
            <w:pPr>
              <w:spacing w:line="300" w:lineRule="exact"/>
              <w:rPr>
                <w:rFonts w:ascii="宋体" w:hAnsi="宋体"/>
              </w:rPr>
            </w:pPr>
            <w:r>
              <w:rPr>
                <w:rFonts w:hint="eastAsia" w:ascii="宋体" w:hAnsi="宋体"/>
              </w:rPr>
              <w:t>2.财政政策和货币政策的运用；</w:t>
            </w:r>
          </w:p>
          <w:p>
            <w:pPr>
              <w:spacing w:line="300" w:lineRule="exact"/>
              <w:rPr>
                <w:rFonts w:ascii="宋体" w:hAnsi="宋体"/>
              </w:rPr>
            </w:pPr>
            <w:r>
              <w:rPr>
                <w:rFonts w:hint="eastAsia" w:ascii="宋体" w:hAnsi="宋体"/>
              </w:rPr>
              <w:t>3.财政政策的“挤出效应”；</w:t>
            </w:r>
          </w:p>
          <w:p>
            <w:pPr>
              <w:spacing w:line="300" w:lineRule="exact"/>
              <w:rPr>
                <w:rFonts w:ascii="宋体"/>
                <w:color w:val="000000"/>
                <w:kern w:val="0"/>
              </w:rPr>
            </w:pPr>
            <w:r>
              <w:rPr>
                <w:rFonts w:hint="eastAsia" w:ascii="宋体" w:hAnsi="宋体"/>
              </w:rPr>
              <w:t>4.财政政策和货币政策的效果。</w:t>
            </w:r>
          </w:p>
        </w:tc>
        <w:tc>
          <w:tcPr>
            <w:tcW w:w="2185" w:type="dxa"/>
            <w:vAlign w:val="center"/>
          </w:tcPr>
          <w:p>
            <w:pPr>
              <w:spacing w:line="300" w:lineRule="exact"/>
              <w:rPr>
                <w:rFonts w:ascii="宋体" w:hAnsi="宋体"/>
              </w:rPr>
            </w:pPr>
            <w:r>
              <w:rPr>
                <w:rFonts w:hint="eastAsia" w:ascii="宋体" w:hAnsi="宋体"/>
              </w:rPr>
              <w:t>1.财政政策和货币政策的运用；</w:t>
            </w:r>
          </w:p>
          <w:p>
            <w:pPr>
              <w:spacing w:line="300" w:lineRule="exact"/>
              <w:rPr>
                <w:rFonts w:ascii="宋体" w:hAnsi="宋体"/>
              </w:rPr>
            </w:pPr>
            <w:r>
              <w:rPr>
                <w:rFonts w:hint="eastAsia" w:ascii="宋体" w:hAnsi="宋体"/>
              </w:rPr>
              <w:t>2.财政政策和货币政策的效果；</w:t>
            </w:r>
          </w:p>
          <w:p>
            <w:pPr>
              <w:spacing w:line="300" w:lineRule="exact"/>
              <w:rPr>
                <w:rFonts w:ascii="宋体"/>
              </w:rPr>
            </w:pPr>
            <w:r>
              <w:rPr>
                <w:rFonts w:hint="eastAsia" w:ascii="宋体" w:hAnsi="宋体"/>
              </w:rPr>
              <w:t>3.货币乘数。</w:t>
            </w:r>
          </w:p>
        </w:tc>
      </w:tr>
    </w:tbl>
    <w:p>
      <w:pPr>
        <w:spacing w:beforeLines="100" w:afterLines="50" w:line="360" w:lineRule="auto"/>
        <w:jc w:val="left"/>
        <w:outlineLvl w:val="0"/>
        <w:rPr>
          <w:rFonts w:ascii="黑体" w:hAnsi="黑体" w:eastAsia="黑体"/>
          <w:sz w:val="30"/>
          <w:szCs w:val="30"/>
        </w:rPr>
      </w:pPr>
      <w:bookmarkStart w:id="6" w:name="_Toc4406548"/>
      <w:r>
        <w:rPr>
          <w:rFonts w:hint="eastAsia" w:ascii="黑体" w:hAnsi="黑体" w:eastAsia="黑体" w:cs="黑体"/>
          <w:sz w:val="30"/>
          <w:szCs w:val="30"/>
        </w:rPr>
        <w:t>四、课程教学内容、教学方式、学时分配及对课程目标的支撑情况</w:t>
      </w:r>
      <w:bookmarkEnd w:id="6"/>
    </w:p>
    <w:tbl>
      <w:tblPr>
        <w:tblStyle w:val="9"/>
        <w:tblW w:w="9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88"/>
        <w:gridCol w:w="3629"/>
        <w:gridCol w:w="1701"/>
        <w:gridCol w:w="119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b/>
                <w:bCs/>
              </w:rPr>
            </w:pPr>
            <w:r>
              <w:rPr>
                <w:rFonts w:hint="eastAsia" w:ascii="宋体" w:hAnsi="宋体" w:cs="宋体"/>
                <w:b/>
                <w:bCs/>
              </w:rPr>
              <w:t>序号</w:t>
            </w:r>
          </w:p>
        </w:tc>
        <w:tc>
          <w:tcPr>
            <w:tcW w:w="1588" w:type="dxa"/>
            <w:vAlign w:val="center"/>
          </w:tcPr>
          <w:p>
            <w:pPr>
              <w:spacing w:line="280" w:lineRule="exact"/>
              <w:jc w:val="center"/>
              <w:rPr>
                <w:rFonts w:ascii="宋体"/>
                <w:b/>
                <w:bCs/>
              </w:rPr>
            </w:pPr>
            <w:r>
              <w:rPr>
                <w:rFonts w:hint="eastAsia" w:ascii="宋体" w:hAnsi="宋体" w:cs="宋体"/>
                <w:b/>
                <w:bCs/>
              </w:rPr>
              <w:t>课程内容框架</w:t>
            </w:r>
          </w:p>
        </w:tc>
        <w:tc>
          <w:tcPr>
            <w:tcW w:w="3629" w:type="dxa"/>
            <w:vAlign w:val="center"/>
          </w:tcPr>
          <w:p>
            <w:pPr>
              <w:spacing w:line="280" w:lineRule="exact"/>
              <w:jc w:val="center"/>
              <w:rPr>
                <w:rFonts w:ascii="宋体"/>
                <w:b/>
                <w:bCs/>
              </w:rPr>
            </w:pPr>
            <w:r>
              <w:rPr>
                <w:rFonts w:hint="eastAsia" w:ascii="宋体" w:hAnsi="宋体" w:cs="宋体"/>
                <w:b/>
                <w:bCs/>
              </w:rPr>
              <w:t>教学内容</w:t>
            </w:r>
          </w:p>
        </w:tc>
        <w:tc>
          <w:tcPr>
            <w:tcW w:w="1701" w:type="dxa"/>
            <w:vAlign w:val="center"/>
          </w:tcPr>
          <w:p>
            <w:pPr>
              <w:spacing w:line="280" w:lineRule="exact"/>
              <w:jc w:val="center"/>
              <w:rPr>
                <w:rFonts w:ascii="宋体"/>
                <w:b/>
                <w:bCs/>
              </w:rPr>
            </w:pPr>
            <w:r>
              <w:rPr>
                <w:rFonts w:hint="eastAsia" w:ascii="宋体" w:hAnsi="宋体" w:cs="宋体"/>
                <w:b/>
                <w:bCs/>
              </w:rPr>
              <w:t>教学方式</w:t>
            </w:r>
          </w:p>
        </w:tc>
        <w:tc>
          <w:tcPr>
            <w:tcW w:w="1190" w:type="dxa"/>
            <w:vAlign w:val="center"/>
          </w:tcPr>
          <w:p>
            <w:pPr>
              <w:spacing w:line="280" w:lineRule="exact"/>
              <w:jc w:val="center"/>
              <w:rPr>
                <w:rFonts w:ascii="宋体"/>
                <w:b/>
                <w:bCs/>
              </w:rPr>
            </w:pPr>
            <w:r>
              <w:rPr>
                <w:rFonts w:hint="eastAsia" w:ascii="宋体" w:hAnsi="宋体" w:cs="宋体"/>
                <w:b/>
                <w:bCs/>
              </w:rPr>
              <w:t>学时</w:t>
            </w:r>
          </w:p>
        </w:tc>
        <w:tc>
          <w:tcPr>
            <w:tcW w:w="1212" w:type="dxa"/>
            <w:vAlign w:val="center"/>
          </w:tcPr>
          <w:p>
            <w:pPr>
              <w:spacing w:line="280" w:lineRule="exact"/>
              <w:jc w:val="center"/>
              <w:rPr>
                <w:rFonts w:ascii="宋体"/>
                <w:b/>
                <w:bCs/>
              </w:rPr>
            </w:pPr>
            <w:r>
              <w:rPr>
                <w:rFonts w:hint="eastAsia" w:ascii="宋体" w:hAnsi="宋体" w:cs="宋体"/>
                <w:b/>
                <w:bCs/>
              </w:rPr>
              <w:t>支撑的</w:t>
            </w:r>
          </w:p>
          <w:p>
            <w:pPr>
              <w:spacing w:line="280" w:lineRule="exact"/>
              <w:jc w:val="center"/>
              <w:rPr>
                <w:rFonts w:ascii="宋体"/>
                <w:b/>
                <w:bCs/>
              </w:rPr>
            </w:pPr>
            <w:r>
              <w:rPr>
                <w:rFonts w:hint="eastAsia" w:ascii="宋体" w:hAnsi="宋体" w:cs="宋体"/>
                <w:b/>
                <w:bCs/>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75" w:type="dxa"/>
            <w:vMerge w:val="restart"/>
            <w:vAlign w:val="center"/>
          </w:tcPr>
          <w:p>
            <w:pPr>
              <w:jc w:val="center"/>
              <w:rPr>
                <w:rFonts w:ascii="宋体"/>
              </w:rPr>
            </w:pPr>
            <w:r>
              <w:rPr>
                <w:rFonts w:ascii="宋体" w:hAnsi="宋体" w:cs="宋体"/>
              </w:rPr>
              <w:t>1</w:t>
            </w:r>
          </w:p>
        </w:tc>
        <w:tc>
          <w:tcPr>
            <w:tcW w:w="1588" w:type="dxa"/>
            <w:vMerge w:val="restart"/>
            <w:vAlign w:val="center"/>
          </w:tcPr>
          <w:p>
            <w:pPr>
              <w:spacing w:line="300" w:lineRule="exact"/>
              <w:jc w:val="center"/>
              <w:rPr>
                <w:rFonts w:ascii="宋体" w:hAnsi="宋体" w:cs="宋体"/>
              </w:rPr>
            </w:pPr>
            <w:r>
              <w:rPr>
                <w:rFonts w:hint="eastAsia" w:ascii="宋体" w:hAnsi="宋体" w:cs="宋体"/>
              </w:rPr>
              <w:t>第九章</w:t>
            </w:r>
          </w:p>
          <w:p>
            <w:pPr>
              <w:spacing w:line="300" w:lineRule="exact"/>
              <w:jc w:val="center"/>
              <w:rPr>
                <w:rFonts w:ascii="宋体"/>
              </w:rPr>
            </w:pPr>
            <w:r>
              <w:rPr>
                <w:rFonts w:hint="eastAsia" w:ascii="宋体" w:hAnsi="宋体" w:cs="宋体"/>
              </w:rPr>
              <w:t>宏观经济的基本指标及其测量</w:t>
            </w:r>
          </w:p>
        </w:tc>
        <w:tc>
          <w:tcPr>
            <w:tcW w:w="3629" w:type="dxa"/>
            <w:vAlign w:val="center"/>
          </w:tcPr>
          <w:p>
            <w:pPr>
              <w:spacing w:line="300" w:lineRule="exact"/>
              <w:rPr>
                <w:rFonts w:ascii="宋体"/>
              </w:rPr>
            </w:pPr>
            <w:r>
              <w:rPr>
                <w:rFonts w:hint="eastAsia" w:ascii="宋体" w:hAnsi="宋体" w:cs="宋体"/>
              </w:rPr>
              <w:t>1.国内生产总值</w:t>
            </w:r>
          </w:p>
        </w:tc>
        <w:tc>
          <w:tcPr>
            <w:tcW w:w="1701" w:type="dxa"/>
            <w:vAlign w:val="center"/>
          </w:tcPr>
          <w:p>
            <w:pPr>
              <w:spacing w:line="300" w:lineRule="exact"/>
              <w:jc w:val="left"/>
              <w:rPr>
                <w:rFonts w:ascii="宋体"/>
              </w:rPr>
            </w:pPr>
            <w:r>
              <w:rPr>
                <w:rFonts w:hint="eastAsia" w:ascii="宋体" w:hAnsi="宋体" w:cs="宋体"/>
              </w:rPr>
              <w:t>讲授</w:t>
            </w:r>
          </w:p>
        </w:tc>
        <w:tc>
          <w:tcPr>
            <w:tcW w:w="1190" w:type="dxa"/>
            <w:vAlign w:val="center"/>
          </w:tcPr>
          <w:p>
            <w:pPr>
              <w:spacing w:line="300" w:lineRule="exact"/>
              <w:jc w:val="center"/>
              <w:rPr>
                <w:rFonts w:ascii="宋体"/>
              </w:rPr>
            </w:pPr>
            <w:r>
              <w:rPr>
                <w:rFonts w:ascii="宋体" w:hAnsi="宋体" w:cs="宋体"/>
              </w:rPr>
              <w:t>2</w:t>
            </w:r>
            <w:r>
              <w:rPr>
                <w:rFonts w:hint="eastAsia" w:ascii="宋体" w:hAnsi="宋体" w:cs="宋体"/>
              </w:rPr>
              <w:t>学时</w:t>
            </w:r>
          </w:p>
        </w:tc>
        <w:tc>
          <w:tcPr>
            <w:tcW w:w="1212" w:type="dxa"/>
            <w:vAlign w:val="center"/>
          </w:tcPr>
          <w:p>
            <w:pPr>
              <w:spacing w:line="300" w:lineRule="exact"/>
              <w:jc w:val="center"/>
              <w:rPr>
                <w:rFonts w:ascii="宋体"/>
              </w:rPr>
            </w:pPr>
            <w:r>
              <w:rPr>
                <w:rFonts w:hint="eastAsia" w:ascii="宋体" w:hAnsi="宋体" w:cs="宋体"/>
              </w:rPr>
              <w:t>课程目标</w:t>
            </w:r>
            <w:r>
              <w:rPr>
                <w:rFonts w:ascii="宋体" w:hAnsi="宋体" w:cs="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675" w:type="dxa"/>
            <w:vMerge w:val="continue"/>
            <w:vAlign w:val="center"/>
          </w:tcPr>
          <w:p>
            <w:pPr>
              <w:jc w:val="center"/>
              <w:rPr>
                <w:rFonts w:ascii="宋体"/>
              </w:rPr>
            </w:pPr>
          </w:p>
        </w:tc>
        <w:tc>
          <w:tcPr>
            <w:tcW w:w="1588" w:type="dxa"/>
            <w:vMerge w:val="continue"/>
            <w:vAlign w:val="center"/>
          </w:tcPr>
          <w:p>
            <w:pPr>
              <w:spacing w:line="300" w:lineRule="exact"/>
              <w:jc w:val="center"/>
              <w:rPr>
                <w:rFonts w:ascii="宋体"/>
              </w:rPr>
            </w:pPr>
          </w:p>
        </w:tc>
        <w:tc>
          <w:tcPr>
            <w:tcW w:w="3629" w:type="dxa"/>
            <w:vAlign w:val="center"/>
          </w:tcPr>
          <w:p>
            <w:pPr>
              <w:spacing w:line="300" w:lineRule="exact"/>
              <w:rPr>
                <w:rFonts w:ascii="宋体" w:hAnsi="宋体" w:cs="宋体"/>
              </w:rPr>
            </w:pPr>
            <w:r>
              <w:rPr>
                <w:rFonts w:hint="eastAsia" w:ascii="宋体" w:hAnsi="宋体" w:cs="宋体"/>
              </w:rPr>
              <w:t>2.价格水平及其测量</w:t>
            </w:r>
          </w:p>
          <w:p>
            <w:pPr>
              <w:spacing w:line="300" w:lineRule="exact"/>
              <w:rPr>
                <w:rFonts w:ascii="宋体"/>
              </w:rPr>
            </w:pPr>
            <w:r>
              <w:rPr>
                <w:rFonts w:hint="eastAsia" w:ascii="宋体" w:hAnsi="宋体" w:cs="宋体"/>
              </w:rPr>
              <w:t>3.失业及其衡量</w:t>
            </w:r>
          </w:p>
        </w:tc>
        <w:tc>
          <w:tcPr>
            <w:tcW w:w="1701" w:type="dxa"/>
            <w:vAlign w:val="center"/>
          </w:tcPr>
          <w:p>
            <w:pPr>
              <w:spacing w:line="300" w:lineRule="exact"/>
              <w:jc w:val="left"/>
              <w:rPr>
                <w:rFonts w:ascii="宋体"/>
              </w:rPr>
            </w:pPr>
            <w:r>
              <w:rPr>
                <w:rFonts w:hint="eastAsia" w:ascii="宋体" w:hAnsi="宋体" w:cs="宋体"/>
              </w:rPr>
              <w:t>讲授</w:t>
            </w:r>
          </w:p>
        </w:tc>
        <w:tc>
          <w:tcPr>
            <w:tcW w:w="1190" w:type="dxa"/>
            <w:vAlign w:val="center"/>
          </w:tcPr>
          <w:p>
            <w:pPr>
              <w:spacing w:line="300" w:lineRule="exact"/>
              <w:jc w:val="center"/>
              <w:rPr>
                <w:rFonts w:ascii="宋体"/>
              </w:rPr>
            </w:pPr>
            <w:r>
              <w:rPr>
                <w:rFonts w:ascii="宋体" w:hAnsi="宋体" w:cs="宋体"/>
              </w:rPr>
              <w:t>2</w:t>
            </w:r>
            <w:r>
              <w:rPr>
                <w:rFonts w:hint="eastAsia" w:ascii="宋体" w:hAnsi="宋体" w:cs="宋体"/>
              </w:rPr>
              <w:t>学时</w:t>
            </w:r>
          </w:p>
        </w:tc>
        <w:tc>
          <w:tcPr>
            <w:tcW w:w="1212" w:type="dxa"/>
            <w:vAlign w:val="center"/>
          </w:tcPr>
          <w:p>
            <w:pPr>
              <w:spacing w:line="300" w:lineRule="exact"/>
              <w:jc w:val="center"/>
              <w:rPr>
                <w:rFonts w:ascii="宋体"/>
              </w:rPr>
            </w:pPr>
            <w:r>
              <w:rPr>
                <w:rFonts w:hint="eastAsia" w:ascii="宋体" w:hAnsi="宋体" w:cs="宋体"/>
              </w:rPr>
              <w:t>课程目标</w:t>
            </w:r>
            <w:r>
              <w:rPr>
                <w:rFonts w:ascii="宋体" w:hAnsi="宋体" w:cs="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75" w:type="dxa"/>
            <w:vMerge w:val="restart"/>
            <w:vAlign w:val="center"/>
          </w:tcPr>
          <w:p>
            <w:pPr>
              <w:jc w:val="center"/>
              <w:rPr>
                <w:rFonts w:ascii="宋体"/>
              </w:rPr>
            </w:pPr>
            <w:r>
              <w:rPr>
                <w:rFonts w:ascii="宋体" w:hAnsi="宋体" w:cs="宋体"/>
              </w:rPr>
              <w:t>2</w:t>
            </w:r>
          </w:p>
        </w:tc>
        <w:tc>
          <w:tcPr>
            <w:tcW w:w="1588" w:type="dxa"/>
            <w:vMerge w:val="restart"/>
            <w:vAlign w:val="center"/>
          </w:tcPr>
          <w:p>
            <w:pPr>
              <w:spacing w:line="300" w:lineRule="exact"/>
              <w:jc w:val="center"/>
              <w:rPr>
                <w:bCs/>
              </w:rPr>
            </w:pPr>
            <w:r>
              <w:rPr>
                <w:rFonts w:hint="eastAsia"/>
                <w:bCs/>
              </w:rPr>
              <w:t>第十章</w:t>
            </w:r>
          </w:p>
          <w:p>
            <w:pPr>
              <w:spacing w:line="300" w:lineRule="exact"/>
              <w:jc w:val="center"/>
              <w:rPr>
                <w:bCs/>
              </w:rPr>
            </w:pPr>
            <w:r>
              <w:rPr>
                <w:rFonts w:hint="eastAsia"/>
                <w:bCs/>
              </w:rPr>
              <w:t>短期经济波动模型：产品市场的均衡</w:t>
            </w:r>
          </w:p>
        </w:tc>
        <w:tc>
          <w:tcPr>
            <w:tcW w:w="3629" w:type="dxa"/>
            <w:vAlign w:val="center"/>
          </w:tcPr>
          <w:p>
            <w:pPr>
              <w:spacing w:line="300" w:lineRule="exact"/>
              <w:rPr>
                <w:rFonts w:ascii="宋体" w:hAnsi="宋体" w:cs="宋体"/>
              </w:rPr>
            </w:pPr>
            <w:r>
              <w:rPr>
                <w:rFonts w:hint="eastAsia" w:ascii="宋体" w:hAnsi="宋体" w:cs="宋体"/>
              </w:rPr>
              <w:t>1.均衡国民收入的决定</w:t>
            </w:r>
          </w:p>
          <w:p>
            <w:pPr>
              <w:spacing w:line="300" w:lineRule="exact"/>
              <w:rPr>
                <w:rFonts w:ascii="宋体"/>
              </w:rPr>
            </w:pPr>
            <w:r>
              <w:rPr>
                <w:rFonts w:hint="eastAsia" w:ascii="宋体" w:hAnsi="宋体" w:cs="宋体"/>
              </w:rPr>
              <w:t xml:space="preserve">2.短期国民收入的决定因素：消费和储蓄 </w:t>
            </w:r>
          </w:p>
        </w:tc>
        <w:tc>
          <w:tcPr>
            <w:tcW w:w="1701" w:type="dxa"/>
            <w:vAlign w:val="center"/>
          </w:tcPr>
          <w:p>
            <w:pPr>
              <w:spacing w:line="300" w:lineRule="exact"/>
              <w:jc w:val="left"/>
              <w:rPr>
                <w:rFonts w:ascii="宋体"/>
              </w:rPr>
            </w:pPr>
            <w:r>
              <w:rPr>
                <w:rFonts w:hint="eastAsia" w:ascii="宋体" w:hAnsi="宋体" w:cs="宋体"/>
              </w:rPr>
              <w:t>讲授、案例分析</w:t>
            </w:r>
          </w:p>
        </w:tc>
        <w:tc>
          <w:tcPr>
            <w:tcW w:w="1190" w:type="dxa"/>
            <w:vAlign w:val="center"/>
          </w:tcPr>
          <w:p>
            <w:pPr>
              <w:spacing w:line="300" w:lineRule="exact"/>
              <w:jc w:val="center"/>
              <w:rPr>
                <w:rFonts w:ascii="宋体"/>
              </w:rPr>
            </w:pPr>
            <w:r>
              <w:rPr>
                <w:rFonts w:ascii="宋体" w:hAnsi="宋体" w:cs="宋体"/>
              </w:rPr>
              <w:t>2</w:t>
            </w:r>
            <w:r>
              <w:rPr>
                <w:rFonts w:hint="eastAsia" w:ascii="宋体" w:hAnsi="宋体" w:cs="宋体"/>
              </w:rPr>
              <w:t>学时</w:t>
            </w:r>
          </w:p>
        </w:tc>
        <w:tc>
          <w:tcPr>
            <w:tcW w:w="1212" w:type="dxa"/>
            <w:vAlign w:val="center"/>
          </w:tcPr>
          <w:p>
            <w:pPr>
              <w:spacing w:line="300" w:lineRule="exact"/>
              <w:jc w:val="center"/>
              <w:rPr>
                <w:rFonts w:ascii="宋体"/>
              </w:rPr>
            </w:pPr>
            <w:r>
              <w:rPr>
                <w:rFonts w:hint="eastAsia" w:ascii="宋体" w:hAnsi="宋体" w:cs="宋体"/>
              </w:rPr>
              <w:t>课程目标</w:t>
            </w:r>
            <w:r>
              <w:rPr>
                <w:rFonts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75" w:type="dxa"/>
            <w:vMerge w:val="continue"/>
            <w:vAlign w:val="center"/>
          </w:tcPr>
          <w:p>
            <w:pPr>
              <w:jc w:val="center"/>
              <w:rPr>
                <w:rFonts w:ascii="宋体"/>
              </w:rPr>
            </w:pPr>
          </w:p>
        </w:tc>
        <w:tc>
          <w:tcPr>
            <w:tcW w:w="1588" w:type="dxa"/>
            <w:vMerge w:val="continue"/>
            <w:vAlign w:val="center"/>
          </w:tcPr>
          <w:p>
            <w:pPr>
              <w:spacing w:line="300" w:lineRule="exact"/>
              <w:jc w:val="center"/>
              <w:rPr>
                <w:rFonts w:ascii="宋体"/>
              </w:rPr>
            </w:pPr>
          </w:p>
        </w:tc>
        <w:tc>
          <w:tcPr>
            <w:tcW w:w="3629" w:type="dxa"/>
            <w:vAlign w:val="center"/>
          </w:tcPr>
          <w:p>
            <w:pPr>
              <w:spacing w:line="300" w:lineRule="exact"/>
              <w:rPr>
                <w:rFonts w:ascii="宋体" w:hAnsi="宋体" w:cs="宋体"/>
              </w:rPr>
            </w:pPr>
            <w:r>
              <w:rPr>
                <w:rFonts w:hint="eastAsia" w:ascii="宋体" w:hAnsi="宋体" w:cs="宋体"/>
              </w:rPr>
              <w:t>3.短期国民收入的决定因素：投资需求</w:t>
            </w:r>
          </w:p>
          <w:p>
            <w:pPr>
              <w:spacing w:line="300" w:lineRule="exact"/>
              <w:rPr>
                <w:rFonts w:ascii="宋体"/>
              </w:rPr>
            </w:pPr>
            <w:r>
              <w:rPr>
                <w:rFonts w:hint="eastAsia" w:ascii="宋体" w:hAnsi="宋体" w:cs="宋体"/>
              </w:rPr>
              <w:t>4.短期国民收入的决定因素：政府需求</w:t>
            </w:r>
          </w:p>
        </w:tc>
        <w:tc>
          <w:tcPr>
            <w:tcW w:w="1701" w:type="dxa"/>
            <w:vAlign w:val="center"/>
          </w:tcPr>
          <w:p>
            <w:pPr>
              <w:spacing w:line="300" w:lineRule="exact"/>
              <w:jc w:val="left"/>
              <w:rPr>
                <w:rFonts w:ascii="宋体"/>
              </w:rPr>
            </w:pPr>
            <w:r>
              <w:rPr>
                <w:rFonts w:hint="eastAsia" w:ascii="宋体" w:hAnsi="宋体" w:cs="宋体"/>
              </w:rPr>
              <w:t>讲授、案例分析</w:t>
            </w:r>
          </w:p>
        </w:tc>
        <w:tc>
          <w:tcPr>
            <w:tcW w:w="1190" w:type="dxa"/>
            <w:vAlign w:val="center"/>
          </w:tcPr>
          <w:p>
            <w:pPr>
              <w:spacing w:line="300" w:lineRule="exact"/>
              <w:jc w:val="center"/>
              <w:rPr>
                <w:rFonts w:ascii="宋体"/>
              </w:rPr>
            </w:pPr>
            <w:r>
              <w:rPr>
                <w:rFonts w:hint="eastAsia" w:ascii="宋体" w:hAnsi="宋体" w:cs="宋体"/>
              </w:rPr>
              <w:t>1学时</w:t>
            </w:r>
          </w:p>
        </w:tc>
        <w:tc>
          <w:tcPr>
            <w:tcW w:w="1212" w:type="dxa"/>
            <w:vAlign w:val="center"/>
          </w:tcPr>
          <w:p>
            <w:pPr>
              <w:spacing w:line="300" w:lineRule="exact"/>
              <w:jc w:val="center"/>
              <w:rPr>
                <w:rFonts w:ascii="宋体"/>
              </w:rPr>
            </w:pPr>
            <w:r>
              <w:rPr>
                <w:rFonts w:hint="eastAsia" w:ascii="宋体" w:hAnsi="宋体" w:cs="宋体"/>
              </w:rPr>
              <w:t>课程目标</w:t>
            </w:r>
            <w:r>
              <w:rPr>
                <w:rFonts w:ascii="宋体" w:hAnsi="宋体" w:cs="宋体"/>
              </w:rPr>
              <w:t>3</w:t>
            </w:r>
          </w:p>
          <w:p>
            <w:pPr>
              <w:spacing w:line="300" w:lineRule="exact"/>
              <w:jc w:val="center"/>
              <w:rPr>
                <w:rFonts w:ascii="宋体"/>
              </w:rPr>
            </w:pPr>
            <w:r>
              <w:rPr>
                <w:rFonts w:hint="eastAsia" w:ascii="宋体" w:hAnsi="宋体" w:cs="宋体"/>
              </w:rPr>
              <w:t>课程目标</w:t>
            </w:r>
            <w:r>
              <w:rPr>
                <w:rFonts w:ascii="宋体" w:hAnsi="宋体" w:cs="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675" w:type="dxa"/>
            <w:vMerge w:val="continue"/>
            <w:vAlign w:val="center"/>
          </w:tcPr>
          <w:p>
            <w:pPr>
              <w:jc w:val="center"/>
              <w:rPr>
                <w:rFonts w:ascii="宋体"/>
              </w:rPr>
            </w:pPr>
          </w:p>
        </w:tc>
        <w:tc>
          <w:tcPr>
            <w:tcW w:w="1588" w:type="dxa"/>
            <w:vMerge w:val="continue"/>
            <w:vAlign w:val="center"/>
          </w:tcPr>
          <w:p>
            <w:pPr>
              <w:spacing w:line="300" w:lineRule="exact"/>
              <w:jc w:val="center"/>
              <w:rPr>
                <w:rFonts w:ascii="宋体"/>
              </w:rPr>
            </w:pPr>
          </w:p>
        </w:tc>
        <w:tc>
          <w:tcPr>
            <w:tcW w:w="3629" w:type="dxa"/>
            <w:vAlign w:val="center"/>
          </w:tcPr>
          <w:p>
            <w:pPr>
              <w:spacing w:line="300" w:lineRule="exact"/>
              <w:rPr>
                <w:rFonts w:ascii="宋体" w:hAnsi="宋体" w:cs="宋体"/>
              </w:rPr>
            </w:pPr>
            <w:r>
              <w:rPr>
                <w:rFonts w:hint="eastAsia" w:ascii="宋体" w:hAnsi="宋体" w:cs="宋体"/>
              </w:rPr>
              <w:t>5.短期国民收入的决定因素：国外需求</w:t>
            </w:r>
          </w:p>
          <w:p>
            <w:pPr>
              <w:spacing w:line="300" w:lineRule="exact"/>
              <w:rPr>
                <w:rFonts w:ascii="宋体"/>
              </w:rPr>
            </w:pPr>
            <w:r>
              <w:rPr>
                <w:rFonts w:hint="eastAsia" w:ascii="宋体" w:hAnsi="宋体" w:cs="宋体"/>
              </w:rPr>
              <w:t>6.影响需求的重要因素：乘数</w:t>
            </w:r>
          </w:p>
        </w:tc>
        <w:tc>
          <w:tcPr>
            <w:tcW w:w="1701" w:type="dxa"/>
            <w:vAlign w:val="center"/>
          </w:tcPr>
          <w:p>
            <w:pPr>
              <w:spacing w:line="300" w:lineRule="exact"/>
              <w:jc w:val="left"/>
              <w:rPr>
                <w:rFonts w:ascii="宋体"/>
              </w:rPr>
            </w:pPr>
            <w:r>
              <w:rPr>
                <w:rFonts w:hint="eastAsia" w:ascii="宋体" w:hAnsi="宋体" w:cs="宋体"/>
              </w:rPr>
              <w:t>讲授、案例分析、课堂训练</w:t>
            </w:r>
          </w:p>
        </w:tc>
        <w:tc>
          <w:tcPr>
            <w:tcW w:w="1190" w:type="dxa"/>
            <w:vAlign w:val="center"/>
          </w:tcPr>
          <w:p>
            <w:pPr>
              <w:spacing w:line="300" w:lineRule="exact"/>
              <w:jc w:val="center"/>
              <w:rPr>
                <w:rFonts w:ascii="宋体"/>
              </w:rPr>
            </w:pPr>
            <w:r>
              <w:rPr>
                <w:rFonts w:hint="eastAsia" w:ascii="宋体" w:hAnsi="宋体" w:cs="宋体"/>
              </w:rPr>
              <w:t>3学时</w:t>
            </w:r>
          </w:p>
        </w:tc>
        <w:tc>
          <w:tcPr>
            <w:tcW w:w="1212" w:type="dxa"/>
            <w:vAlign w:val="center"/>
          </w:tcPr>
          <w:p>
            <w:pPr>
              <w:spacing w:line="300" w:lineRule="exact"/>
              <w:jc w:val="center"/>
              <w:rPr>
                <w:rFonts w:ascii="宋体"/>
              </w:rPr>
            </w:pPr>
            <w:r>
              <w:rPr>
                <w:rFonts w:hint="eastAsia" w:ascii="宋体" w:hAnsi="宋体" w:cs="宋体"/>
              </w:rPr>
              <w:t>课程目标</w:t>
            </w:r>
            <w:r>
              <w:rPr>
                <w:rFonts w:ascii="宋体" w:hAnsi="宋体" w:cs="宋体"/>
              </w:rPr>
              <w:t>3</w:t>
            </w:r>
          </w:p>
          <w:p>
            <w:pPr>
              <w:spacing w:line="300" w:lineRule="exact"/>
              <w:jc w:val="center"/>
              <w:rPr>
                <w:rFonts w:ascii="宋体"/>
              </w:rPr>
            </w:pPr>
            <w:r>
              <w:rPr>
                <w:rFonts w:hint="eastAsia" w:ascii="宋体" w:hAnsi="宋体" w:cs="宋体"/>
              </w:rPr>
              <w:t>课程目标</w:t>
            </w:r>
            <w:r>
              <w:rPr>
                <w:rFonts w:ascii="宋体" w:hAnsi="宋体" w:cs="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jc w:val="center"/>
              <w:rPr>
                <w:rFonts w:ascii="宋体"/>
              </w:rPr>
            </w:pPr>
            <w:r>
              <w:rPr>
                <w:rFonts w:ascii="宋体" w:hAnsi="宋体" w:cs="宋体"/>
              </w:rPr>
              <w:t>3</w:t>
            </w:r>
          </w:p>
        </w:tc>
        <w:tc>
          <w:tcPr>
            <w:tcW w:w="1588" w:type="dxa"/>
            <w:vMerge w:val="restart"/>
            <w:vAlign w:val="center"/>
          </w:tcPr>
          <w:p>
            <w:pPr>
              <w:spacing w:line="300" w:lineRule="exact"/>
              <w:jc w:val="center"/>
              <w:rPr>
                <w:rFonts w:ascii="宋体"/>
              </w:rPr>
            </w:pPr>
            <w:r>
              <w:rPr>
                <w:rFonts w:hint="eastAsia" w:ascii="宋体"/>
              </w:rPr>
              <w:t>第十一章</w:t>
            </w:r>
          </w:p>
          <w:p>
            <w:pPr>
              <w:spacing w:line="300" w:lineRule="exact"/>
              <w:jc w:val="center"/>
              <w:rPr>
                <w:rFonts w:ascii="宋体"/>
              </w:rPr>
            </w:pPr>
            <w:r>
              <w:rPr>
                <w:rFonts w:hint="eastAsia" w:ascii="宋体"/>
              </w:rPr>
              <w:t>短期经济波动模型：产品市场和货币市场的共同均衡</w:t>
            </w:r>
          </w:p>
        </w:tc>
        <w:tc>
          <w:tcPr>
            <w:tcW w:w="3629" w:type="dxa"/>
            <w:vAlign w:val="center"/>
          </w:tcPr>
          <w:p>
            <w:pPr>
              <w:spacing w:line="300" w:lineRule="exact"/>
              <w:jc w:val="left"/>
              <w:rPr>
                <w:rFonts w:ascii="宋体"/>
              </w:rPr>
            </w:pPr>
            <w:r>
              <w:rPr>
                <w:rFonts w:hint="eastAsia" w:ascii="宋体"/>
              </w:rPr>
              <w:t>1.产品市场的均衡：IS曲线</w:t>
            </w:r>
          </w:p>
        </w:tc>
        <w:tc>
          <w:tcPr>
            <w:tcW w:w="1701" w:type="dxa"/>
            <w:vAlign w:val="center"/>
          </w:tcPr>
          <w:p>
            <w:pPr>
              <w:spacing w:line="300" w:lineRule="exact"/>
              <w:jc w:val="left"/>
              <w:rPr>
                <w:rFonts w:ascii="宋体"/>
              </w:rPr>
            </w:pPr>
            <w:r>
              <w:rPr>
                <w:rFonts w:hint="eastAsia" w:ascii="宋体" w:hAnsi="宋体" w:cs="宋体"/>
              </w:rPr>
              <w:t>讲授</w:t>
            </w:r>
          </w:p>
        </w:tc>
        <w:tc>
          <w:tcPr>
            <w:tcW w:w="1190" w:type="dxa"/>
            <w:vAlign w:val="center"/>
          </w:tcPr>
          <w:p>
            <w:pPr>
              <w:spacing w:line="300" w:lineRule="exact"/>
              <w:jc w:val="center"/>
              <w:rPr>
                <w:rFonts w:ascii="宋体"/>
              </w:rPr>
            </w:pPr>
            <w:r>
              <w:rPr>
                <w:rFonts w:hint="eastAsia" w:ascii="宋体"/>
                <w:lang w:val="en-US" w:eastAsia="zh-CN"/>
              </w:rPr>
              <w:t>1</w:t>
            </w:r>
            <w:r>
              <w:rPr>
                <w:rFonts w:hint="eastAsia" w:ascii="宋体"/>
              </w:rPr>
              <w:t>学时</w:t>
            </w:r>
          </w:p>
        </w:tc>
        <w:tc>
          <w:tcPr>
            <w:tcW w:w="1212" w:type="dxa"/>
            <w:vAlign w:val="center"/>
          </w:tcPr>
          <w:p>
            <w:pPr>
              <w:spacing w:line="300" w:lineRule="exact"/>
              <w:rPr>
                <w:rFonts w:ascii="宋体"/>
              </w:rPr>
            </w:pPr>
            <w:r>
              <w:rPr>
                <w:rFonts w:hint="eastAsia" w:ascii="宋体" w:hAnsi="宋体" w:cs="宋体"/>
              </w:rPr>
              <w:t>课程目标1课程目标3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jc w:val="center"/>
              <w:rPr>
                <w:rFonts w:ascii="宋体"/>
              </w:rPr>
            </w:pPr>
          </w:p>
        </w:tc>
        <w:tc>
          <w:tcPr>
            <w:tcW w:w="1588" w:type="dxa"/>
            <w:vMerge w:val="continue"/>
            <w:vAlign w:val="center"/>
          </w:tcPr>
          <w:p>
            <w:pPr>
              <w:spacing w:line="300" w:lineRule="exact"/>
              <w:jc w:val="center"/>
              <w:rPr>
                <w:rFonts w:ascii="宋体"/>
              </w:rPr>
            </w:pPr>
          </w:p>
        </w:tc>
        <w:tc>
          <w:tcPr>
            <w:tcW w:w="3629" w:type="dxa"/>
            <w:vAlign w:val="center"/>
          </w:tcPr>
          <w:p>
            <w:pPr>
              <w:spacing w:line="300" w:lineRule="exact"/>
              <w:jc w:val="left"/>
              <w:rPr>
                <w:rFonts w:ascii="宋体"/>
              </w:rPr>
            </w:pPr>
            <w:r>
              <w:rPr>
                <w:rFonts w:hint="eastAsia" w:ascii="宋体"/>
              </w:rPr>
              <w:t>2.货币市场的均衡：LM曲线</w:t>
            </w:r>
          </w:p>
        </w:tc>
        <w:tc>
          <w:tcPr>
            <w:tcW w:w="1701" w:type="dxa"/>
            <w:vAlign w:val="center"/>
          </w:tcPr>
          <w:p>
            <w:pPr>
              <w:spacing w:line="300" w:lineRule="exact"/>
              <w:jc w:val="left"/>
              <w:rPr>
                <w:rFonts w:ascii="宋体"/>
              </w:rPr>
            </w:pPr>
            <w:r>
              <w:rPr>
                <w:rFonts w:hint="eastAsia" w:ascii="宋体" w:hAnsi="宋体" w:cs="宋体"/>
              </w:rPr>
              <w:t>讲授</w:t>
            </w:r>
          </w:p>
        </w:tc>
        <w:tc>
          <w:tcPr>
            <w:tcW w:w="1190" w:type="dxa"/>
            <w:vAlign w:val="center"/>
          </w:tcPr>
          <w:p>
            <w:pPr>
              <w:spacing w:line="300" w:lineRule="exact"/>
              <w:jc w:val="center"/>
              <w:rPr>
                <w:rFonts w:ascii="宋体"/>
              </w:rPr>
            </w:pPr>
            <w:r>
              <w:rPr>
                <w:rFonts w:hint="eastAsia" w:ascii="宋体"/>
              </w:rPr>
              <w:t>2学时</w:t>
            </w:r>
          </w:p>
        </w:tc>
        <w:tc>
          <w:tcPr>
            <w:tcW w:w="1212" w:type="dxa"/>
            <w:vAlign w:val="center"/>
          </w:tcPr>
          <w:p>
            <w:pPr>
              <w:spacing w:line="300" w:lineRule="exact"/>
              <w:rPr>
                <w:rFonts w:ascii="宋体"/>
              </w:rPr>
            </w:pPr>
            <w:r>
              <w:rPr>
                <w:rFonts w:hint="eastAsia" w:ascii="宋体" w:hAnsi="宋体" w:cs="宋体"/>
              </w:rPr>
              <w:t>课程目标1课程目标3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75" w:type="dxa"/>
            <w:vMerge w:val="continue"/>
            <w:vAlign w:val="center"/>
          </w:tcPr>
          <w:p>
            <w:pPr>
              <w:jc w:val="center"/>
              <w:rPr>
                <w:rFonts w:ascii="宋体"/>
              </w:rPr>
            </w:pPr>
          </w:p>
        </w:tc>
        <w:tc>
          <w:tcPr>
            <w:tcW w:w="1588" w:type="dxa"/>
            <w:vMerge w:val="continue"/>
            <w:vAlign w:val="center"/>
          </w:tcPr>
          <w:p>
            <w:pPr>
              <w:spacing w:line="300" w:lineRule="exact"/>
              <w:jc w:val="center"/>
              <w:rPr>
                <w:rFonts w:ascii="宋体"/>
              </w:rPr>
            </w:pPr>
          </w:p>
        </w:tc>
        <w:tc>
          <w:tcPr>
            <w:tcW w:w="3629" w:type="dxa"/>
            <w:vAlign w:val="center"/>
          </w:tcPr>
          <w:p>
            <w:pPr>
              <w:spacing w:line="300" w:lineRule="exact"/>
              <w:jc w:val="left"/>
              <w:rPr>
                <w:rFonts w:ascii="宋体"/>
              </w:rPr>
            </w:pPr>
            <w:r>
              <w:rPr>
                <w:rFonts w:hint="eastAsia" w:ascii="宋体"/>
              </w:rPr>
              <w:t>3.产品市场和货币市场的共同均衡：IS-LM模型</w:t>
            </w:r>
          </w:p>
        </w:tc>
        <w:tc>
          <w:tcPr>
            <w:tcW w:w="1701" w:type="dxa"/>
            <w:vAlign w:val="center"/>
          </w:tcPr>
          <w:p>
            <w:pPr>
              <w:spacing w:line="300" w:lineRule="exact"/>
              <w:jc w:val="center"/>
              <w:rPr>
                <w:rFonts w:ascii="宋体"/>
              </w:rPr>
            </w:pPr>
            <w:r>
              <w:rPr>
                <w:rFonts w:hint="eastAsia" w:ascii="宋体" w:hAnsi="宋体" w:cs="宋体"/>
              </w:rPr>
              <w:t>讲授、案例分析</w:t>
            </w:r>
          </w:p>
        </w:tc>
        <w:tc>
          <w:tcPr>
            <w:tcW w:w="1190" w:type="dxa"/>
            <w:vAlign w:val="center"/>
          </w:tcPr>
          <w:p>
            <w:pPr>
              <w:spacing w:line="300" w:lineRule="exact"/>
              <w:jc w:val="center"/>
              <w:rPr>
                <w:rFonts w:ascii="宋体"/>
              </w:rPr>
            </w:pPr>
            <w:r>
              <w:rPr>
                <w:rFonts w:hint="eastAsia" w:ascii="宋体"/>
                <w:lang w:val="en-US" w:eastAsia="zh-CN"/>
              </w:rPr>
              <w:t>3</w:t>
            </w:r>
            <w:r>
              <w:rPr>
                <w:rFonts w:hint="eastAsia" w:ascii="宋体"/>
              </w:rPr>
              <w:t>学时</w:t>
            </w:r>
          </w:p>
        </w:tc>
        <w:tc>
          <w:tcPr>
            <w:tcW w:w="1212" w:type="dxa"/>
            <w:vAlign w:val="center"/>
          </w:tcPr>
          <w:p>
            <w:pPr>
              <w:spacing w:line="300" w:lineRule="exact"/>
              <w:jc w:val="center"/>
              <w:rPr>
                <w:rFonts w:ascii="宋体"/>
              </w:rPr>
            </w:pPr>
            <w:r>
              <w:rPr>
                <w:rFonts w:hint="eastAsia" w:ascii="宋体" w:hAnsi="宋体" w:cs="宋体"/>
              </w:rPr>
              <w:t>课程目标3</w:t>
            </w:r>
          </w:p>
          <w:p>
            <w:pPr>
              <w:spacing w:line="300" w:lineRule="exact"/>
              <w:rPr>
                <w:rFonts w:ascii="宋体"/>
              </w:rPr>
            </w:pPr>
            <w:r>
              <w:rPr>
                <w:rFonts w:hint="eastAsia" w:ascii="宋体" w:hAnsi="宋体" w:cs="宋体"/>
              </w:rPr>
              <w:t>课程目标4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jc w:val="center"/>
              <w:rPr>
                <w:rFonts w:ascii="宋体"/>
              </w:rPr>
            </w:pPr>
            <w:r>
              <w:rPr>
                <w:rFonts w:ascii="宋体" w:hAnsi="宋体" w:cs="宋体"/>
              </w:rPr>
              <w:t>4</w:t>
            </w:r>
          </w:p>
        </w:tc>
        <w:tc>
          <w:tcPr>
            <w:tcW w:w="1588" w:type="dxa"/>
            <w:vMerge w:val="restart"/>
            <w:vAlign w:val="center"/>
          </w:tcPr>
          <w:p>
            <w:pPr>
              <w:spacing w:line="300" w:lineRule="exact"/>
              <w:jc w:val="center"/>
              <w:rPr>
                <w:rFonts w:ascii="宋体"/>
              </w:rPr>
            </w:pPr>
            <w:r>
              <w:rPr>
                <w:rFonts w:hint="eastAsia" w:ascii="宋体"/>
              </w:rPr>
              <w:t>第十二章</w:t>
            </w:r>
          </w:p>
          <w:p>
            <w:pPr>
              <w:spacing w:line="300" w:lineRule="exact"/>
              <w:jc w:val="center"/>
              <w:rPr>
                <w:rFonts w:ascii="宋体"/>
              </w:rPr>
            </w:pPr>
            <w:r>
              <w:rPr>
                <w:rFonts w:hint="eastAsia" w:ascii="宋体"/>
              </w:rPr>
              <w:t>短期经济波动模型：总需求-总供给分析</w:t>
            </w:r>
          </w:p>
        </w:tc>
        <w:tc>
          <w:tcPr>
            <w:tcW w:w="3629" w:type="dxa"/>
            <w:vAlign w:val="center"/>
          </w:tcPr>
          <w:p>
            <w:pPr>
              <w:spacing w:line="300" w:lineRule="exact"/>
              <w:rPr>
                <w:rFonts w:ascii="宋体"/>
              </w:rPr>
            </w:pPr>
            <w:r>
              <w:rPr>
                <w:rFonts w:hint="eastAsia" w:ascii="宋体"/>
              </w:rPr>
              <w:t>1.总需求曲线及其变动</w:t>
            </w:r>
          </w:p>
        </w:tc>
        <w:tc>
          <w:tcPr>
            <w:tcW w:w="1701" w:type="dxa"/>
            <w:vAlign w:val="center"/>
          </w:tcPr>
          <w:p>
            <w:pPr>
              <w:spacing w:line="300" w:lineRule="exact"/>
              <w:jc w:val="left"/>
            </w:pPr>
            <w:r>
              <w:rPr>
                <w:rFonts w:hint="eastAsia" w:ascii="宋体" w:hAnsi="宋体" w:cs="宋体"/>
              </w:rPr>
              <w:t>讲授、案例分析、课堂训练</w:t>
            </w:r>
          </w:p>
        </w:tc>
        <w:tc>
          <w:tcPr>
            <w:tcW w:w="1190" w:type="dxa"/>
            <w:vAlign w:val="center"/>
          </w:tcPr>
          <w:p>
            <w:pPr>
              <w:spacing w:line="300" w:lineRule="exact"/>
              <w:jc w:val="center"/>
              <w:rPr>
                <w:rFonts w:ascii="宋体"/>
              </w:rPr>
            </w:pPr>
            <w:r>
              <w:rPr>
                <w:rFonts w:hint="eastAsia" w:ascii="宋体"/>
                <w:lang w:val="en-US" w:eastAsia="zh-CN"/>
              </w:rPr>
              <w:t>1</w:t>
            </w:r>
            <w:r>
              <w:rPr>
                <w:rFonts w:hint="eastAsia" w:ascii="宋体"/>
              </w:rPr>
              <w:t>学时</w:t>
            </w:r>
          </w:p>
        </w:tc>
        <w:tc>
          <w:tcPr>
            <w:tcW w:w="1212" w:type="dxa"/>
            <w:vAlign w:val="center"/>
          </w:tcPr>
          <w:p>
            <w:pPr>
              <w:spacing w:line="300" w:lineRule="exact"/>
            </w:pPr>
            <w:r>
              <w:rPr>
                <w:rFonts w:hint="eastAsia" w:ascii="宋体" w:hAnsi="宋体" w:cs="宋体"/>
              </w:rPr>
              <w:t>课程目标1</w:t>
            </w:r>
          </w:p>
          <w:p>
            <w:pPr>
              <w:spacing w:line="300" w:lineRule="exact"/>
              <w:jc w:val="center"/>
              <w:rPr>
                <w:rFonts w:ascii="宋体"/>
              </w:rPr>
            </w:pPr>
            <w:r>
              <w:rPr>
                <w:rFonts w:hint="eastAsia" w:ascii="宋体" w:hAnsi="宋体" w:cs="宋体"/>
              </w:rPr>
              <w:t>课程目标</w:t>
            </w:r>
            <w:r>
              <w:rPr>
                <w:rFonts w:hint="eastAsia" w:ascii="宋体" w:hAnsi="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jc w:val="center"/>
              <w:rPr>
                <w:rFonts w:ascii="宋体"/>
              </w:rPr>
            </w:pPr>
          </w:p>
        </w:tc>
        <w:tc>
          <w:tcPr>
            <w:tcW w:w="1588" w:type="dxa"/>
            <w:vMerge w:val="continue"/>
            <w:vAlign w:val="center"/>
          </w:tcPr>
          <w:p>
            <w:pPr>
              <w:spacing w:line="300" w:lineRule="exact"/>
              <w:jc w:val="center"/>
              <w:rPr>
                <w:rFonts w:ascii="宋体"/>
              </w:rPr>
            </w:pPr>
          </w:p>
        </w:tc>
        <w:tc>
          <w:tcPr>
            <w:tcW w:w="3629" w:type="dxa"/>
            <w:vAlign w:val="center"/>
          </w:tcPr>
          <w:p>
            <w:pPr>
              <w:spacing w:line="300" w:lineRule="exact"/>
              <w:jc w:val="left"/>
              <w:rPr>
                <w:rFonts w:ascii="宋体"/>
              </w:rPr>
            </w:pPr>
            <w:r>
              <w:rPr>
                <w:rFonts w:hint="eastAsia" w:ascii="宋体"/>
              </w:rPr>
              <w:t>2.总供给曲线及其变动</w:t>
            </w:r>
          </w:p>
        </w:tc>
        <w:tc>
          <w:tcPr>
            <w:tcW w:w="1701" w:type="dxa"/>
            <w:vAlign w:val="center"/>
          </w:tcPr>
          <w:p>
            <w:pPr>
              <w:spacing w:line="300" w:lineRule="exact"/>
              <w:jc w:val="left"/>
              <w:rPr>
                <w:rFonts w:ascii="宋体"/>
              </w:rPr>
            </w:pPr>
            <w:r>
              <w:rPr>
                <w:rFonts w:hint="eastAsia" w:ascii="宋体" w:hAnsi="宋体" w:cs="宋体"/>
              </w:rPr>
              <w:t>讲授、案例分析、课堂训练</w:t>
            </w:r>
          </w:p>
        </w:tc>
        <w:tc>
          <w:tcPr>
            <w:tcW w:w="1190" w:type="dxa"/>
            <w:vAlign w:val="center"/>
          </w:tcPr>
          <w:p>
            <w:pPr>
              <w:spacing w:line="300" w:lineRule="exact"/>
              <w:jc w:val="center"/>
              <w:rPr>
                <w:rFonts w:ascii="宋体"/>
              </w:rPr>
            </w:pPr>
            <w:r>
              <w:rPr>
                <w:rFonts w:hint="eastAsia" w:ascii="宋体"/>
                <w:lang w:val="en-US" w:eastAsia="zh-CN"/>
              </w:rPr>
              <w:t>1</w:t>
            </w:r>
            <w:r>
              <w:rPr>
                <w:rFonts w:hint="eastAsia" w:ascii="宋体"/>
              </w:rPr>
              <w:t>学时</w:t>
            </w:r>
          </w:p>
        </w:tc>
        <w:tc>
          <w:tcPr>
            <w:tcW w:w="1212" w:type="dxa"/>
            <w:vAlign w:val="center"/>
          </w:tcPr>
          <w:p>
            <w:pPr>
              <w:spacing w:line="300" w:lineRule="exact"/>
            </w:pPr>
            <w:r>
              <w:rPr>
                <w:rFonts w:hint="eastAsia" w:ascii="宋体" w:hAnsi="宋体" w:cs="宋体"/>
              </w:rPr>
              <w:t>课程目标1</w:t>
            </w:r>
          </w:p>
          <w:p>
            <w:pPr>
              <w:spacing w:line="300" w:lineRule="exact"/>
              <w:jc w:val="center"/>
              <w:rPr>
                <w:rFonts w:ascii="宋体"/>
              </w:rPr>
            </w:pPr>
            <w:r>
              <w:rPr>
                <w:rFonts w:hint="eastAsia" w:ascii="宋体" w:hAnsi="宋体" w:cs="宋体"/>
              </w:rPr>
              <w:t>课程目标</w:t>
            </w:r>
            <w:r>
              <w:rPr>
                <w:rFonts w:hint="eastAsia" w:ascii="宋体" w:hAnsi="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75" w:type="dxa"/>
            <w:vMerge w:val="continue"/>
            <w:vAlign w:val="center"/>
          </w:tcPr>
          <w:p>
            <w:pPr>
              <w:jc w:val="center"/>
              <w:rPr>
                <w:rFonts w:ascii="宋体"/>
              </w:rPr>
            </w:pPr>
          </w:p>
        </w:tc>
        <w:tc>
          <w:tcPr>
            <w:tcW w:w="1588" w:type="dxa"/>
            <w:vMerge w:val="continue"/>
            <w:vAlign w:val="center"/>
          </w:tcPr>
          <w:p>
            <w:pPr>
              <w:spacing w:line="300" w:lineRule="exact"/>
              <w:jc w:val="center"/>
              <w:rPr>
                <w:rFonts w:ascii="宋体"/>
              </w:rPr>
            </w:pPr>
          </w:p>
        </w:tc>
        <w:tc>
          <w:tcPr>
            <w:tcW w:w="3629" w:type="dxa"/>
            <w:vAlign w:val="center"/>
          </w:tcPr>
          <w:p>
            <w:pPr>
              <w:spacing w:line="300" w:lineRule="exact"/>
              <w:jc w:val="left"/>
              <w:rPr>
                <w:rFonts w:ascii="宋体"/>
              </w:rPr>
            </w:pPr>
            <w:r>
              <w:rPr>
                <w:rFonts w:hint="eastAsia" w:ascii="宋体"/>
              </w:rPr>
              <w:t>3.总需求-总供给模型</w:t>
            </w:r>
          </w:p>
        </w:tc>
        <w:tc>
          <w:tcPr>
            <w:tcW w:w="1701" w:type="dxa"/>
            <w:vAlign w:val="center"/>
          </w:tcPr>
          <w:p>
            <w:pPr>
              <w:spacing w:line="300" w:lineRule="exact"/>
              <w:rPr>
                <w:rFonts w:ascii="宋体"/>
              </w:rPr>
            </w:pPr>
            <w:r>
              <w:rPr>
                <w:rFonts w:hint="eastAsia" w:ascii="宋体" w:hAnsi="宋体" w:cs="宋体"/>
              </w:rPr>
              <w:t>讲授、案例分析</w:t>
            </w:r>
          </w:p>
        </w:tc>
        <w:tc>
          <w:tcPr>
            <w:tcW w:w="1190" w:type="dxa"/>
            <w:vAlign w:val="center"/>
          </w:tcPr>
          <w:p>
            <w:pPr>
              <w:spacing w:line="300" w:lineRule="exact"/>
              <w:jc w:val="center"/>
              <w:rPr>
                <w:rFonts w:ascii="宋体"/>
              </w:rPr>
            </w:pPr>
            <w:r>
              <w:rPr>
                <w:rFonts w:hint="eastAsia" w:ascii="宋体"/>
              </w:rPr>
              <w:t>2学时</w:t>
            </w:r>
          </w:p>
        </w:tc>
        <w:tc>
          <w:tcPr>
            <w:tcW w:w="1212" w:type="dxa"/>
            <w:vAlign w:val="center"/>
          </w:tcPr>
          <w:p>
            <w:pPr>
              <w:spacing w:line="300" w:lineRule="exact"/>
              <w:jc w:val="center"/>
              <w:rPr>
                <w:rFonts w:ascii="宋体"/>
              </w:rPr>
            </w:pPr>
            <w:r>
              <w:rPr>
                <w:rFonts w:hint="eastAsia" w:ascii="宋体" w:hAnsi="宋体" w:cs="宋体"/>
              </w:rPr>
              <w:t>课程目标</w:t>
            </w:r>
            <w:r>
              <w:rPr>
                <w:rFonts w:hint="eastAsia" w:ascii="宋体" w:hAnsi="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675" w:type="dxa"/>
            <w:vMerge w:val="continue"/>
            <w:vAlign w:val="center"/>
          </w:tcPr>
          <w:p>
            <w:pPr>
              <w:jc w:val="center"/>
              <w:rPr>
                <w:rFonts w:ascii="宋体"/>
              </w:rPr>
            </w:pPr>
          </w:p>
        </w:tc>
        <w:tc>
          <w:tcPr>
            <w:tcW w:w="1588" w:type="dxa"/>
            <w:vMerge w:val="continue"/>
            <w:vAlign w:val="center"/>
          </w:tcPr>
          <w:p>
            <w:pPr>
              <w:spacing w:line="300" w:lineRule="exact"/>
              <w:jc w:val="center"/>
              <w:rPr>
                <w:rFonts w:ascii="宋体"/>
              </w:rPr>
            </w:pPr>
          </w:p>
        </w:tc>
        <w:tc>
          <w:tcPr>
            <w:tcW w:w="3629" w:type="dxa"/>
            <w:vAlign w:val="center"/>
          </w:tcPr>
          <w:p>
            <w:pPr>
              <w:spacing w:line="300" w:lineRule="exact"/>
              <w:rPr>
                <w:rFonts w:ascii="宋体"/>
              </w:rPr>
            </w:pPr>
            <w:r>
              <w:rPr>
                <w:rFonts w:hint="eastAsia" w:ascii="宋体"/>
              </w:rPr>
              <w:t>4.总需求-总供给模型对外来冲击的反应</w:t>
            </w:r>
          </w:p>
        </w:tc>
        <w:tc>
          <w:tcPr>
            <w:tcW w:w="1701" w:type="dxa"/>
            <w:vAlign w:val="center"/>
          </w:tcPr>
          <w:p>
            <w:pPr>
              <w:spacing w:line="300" w:lineRule="exact"/>
              <w:rPr>
                <w:rFonts w:ascii="宋体"/>
              </w:rPr>
            </w:pPr>
            <w:r>
              <w:rPr>
                <w:rFonts w:hint="eastAsia" w:ascii="宋体" w:hAnsi="宋体" w:cs="宋体"/>
              </w:rPr>
              <w:t>讲授、案例分析</w:t>
            </w:r>
          </w:p>
        </w:tc>
        <w:tc>
          <w:tcPr>
            <w:tcW w:w="1190" w:type="dxa"/>
            <w:vAlign w:val="center"/>
          </w:tcPr>
          <w:p>
            <w:pPr>
              <w:spacing w:line="300" w:lineRule="exact"/>
              <w:jc w:val="center"/>
              <w:rPr>
                <w:rFonts w:ascii="宋体"/>
              </w:rPr>
            </w:pPr>
            <w:r>
              <w:rPr>
                <w:rFonts w:hint="eastAsia" w:ascii="宋体"/>
                <w:lang w:val="en-US" w:eastAsia="zh-CN"/>
              </w:rPr>
              <w:t>3</w:t>
            </w:r>
            <w:r>
              <w:rPr>
                <w:rFonts w:hint="eastAsia" w:ascii="宋体"/>
              </w:rPr>
              <w:t>学时</w:t>
            </w:r>
          </w:p>
        </w:tc>
        <w:tc>
          <w:tcPr>
            <w:tcW w:w="1212" w:type="dxa"/>
            <w:vAlign w:val="center"/>
          </w:tcPr>
          <w:p>
            <w:pPr>
              <w:spacing w:line="300" w:lineRule="exact"/>
              <w:jc w:val="center"/>
              <w:rPr>
                <w:rFonts w:ascii="宋体" w:hAnsi="宋体" w:cs="宋体"/>
              </w:rPr>
            </w:pPr>
            <w:r>
              <w:rPr>
                <w:rFonts w:hint="eastAsia" w:ascii="宋体" w:hAnsi="宋体" w:cs="宋体"/>
              </w:rPr>
              <w:t>课程目标</w:t>
            </w:r>
            <w:r>
              <w:rPr>
                <w:rFonts w:hint="eastAsia" w:ascii="宋体" w:hAnsi="宋体"/>
              </w:rPr>
              <w:t>3</w:t>
            </w:r>
          </w:p>
          <w:p>
            <w:pPr>
              <w:spacing w:line="300" w:lineRule="exact"/>
              <w:rPr>
                <w:rFonts w:ascii="宋体"/>
              </w:rPr>
            </w:pPr>
            <w:r>
              <w:rPr>
                <w:rFonts w:hint="eastAsia" w:ascii="宋体" w:hAnsi="宋体" w:cs="宋体"/>
              </w:rPr>
              <w:t>课程目标</w:t>
            </w:r>
            <w:r>
              <w:rPr>
                <w:rFonts w:hint="eastAsia" w:ascii="宋体" w:hAnsi="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jc w:val="center"/>
              <w:rPr>
                <w:rFonts w:ascii="宋体"/>
              </w:rPr>
            </w:pPr>
            <w:r>
              <w:rPr>
                <w:rFonts w:ascii="宋体" w:hAnsi="宋体" w:cs="宋体"/>
              </w:rPr>
              <w:t>5</w:t>
            </w:r>
          </w:p>
        </w:tc>
        <w:tc>
          <w:tcPr>
            <w:tcW w:w="1588" w:type="dxa"/>
            <w:vMerge w:val="restart"/>
            <w:vAlign w:val="center"/>
          </w:tcPr>
          <w:p>
            <w:pPr>
              <w:spacing w:line="300" w:lineRule="exact"/>
              <w:jc w:val="center"/>
              <w:rPr>
                <w:rFonts w:ascii="宋体"/>
              </w:rPr>
            </w:pPr>
            <w:r>
              <w:rPr>
                <w:rFonts w:hint="eastAsia" w:ascii="宋体"/>
              </w:rPr>
              <w:t>第十三章</w:t>
            </w:r>
          </w:p>
          <w:p>
            <w:pPr>
              <w:spacing w:line="300" w:lineRule="exact"/>
              <w:jc w:val="center"/>
              <w:rPr>
                <w:rFonts w:ascii="宋体"/>
              </w:rPr>
            </w:pPr>
            <w:r>
              <w:rPr>
                <w:rFonts w:hint="eastAsia" w:ascii="宋体"/>
              </w:rPr>
              <w:t>失业、通货膨胀和经济周期</w:t>
            </w:r>
          </w:p>
        </w:tc>
        <w:tc>
          <w:tcPr>
            <w:tcW w:w="3629" w:type="dxa"/>
            <w:vAlign w:val="center"/>
          </w:tcPr>
          <w:p>
            <w:pPr>
              <w:spacing w:line="300" w:lineRule="exact"/>
              <w:rPr>
                <w:rFonts w:ascii="宋体"/>
              </w:rPr>
            </w:pPr>
            <w:r>
              <w:rPr>
                <w:rFonts w:hint="eastAsia" w:ascii="宋体"/>
              </w:rPr>
              <w:t>1.失业</w:t>
            </w:r>
          </w:p>
        </w:tc>
        <w:tc>
          <w:tcPr>
            <w:tcW w:w="1701" w:type="dxa"/>
            <w:vAlign w:val="center"/>
          </w:tcPr>
          <w:p>
            <w:pPr>
              <w:spacing w:line="300" w:lineRule="exact"/>
              <w:rPr>
                <w:rFonts w:ascii="宋体"/>
              </w:rPr>
            </w:pPr>
            <w:r>
              <w:rPr>
                <w:rFonts w:hint="eastAsia" w:ascii="宋体" w:hAnsi="宋体" w:cs="宋体"/>
              </w:rPr>
              <w:t>讲授、案例分析</w:t>
            </w:r>
          </w:p>
        </w:tc>
        <w:tc>
          <w:tcPr>
            <w:tcW w:w="1190" w:type="dxa"/>
            <w:vAlign w:val="center"/>
          </w:tcPr>
          <w:p>
            <w:pPr>
              <w:spacing w:line="300" w:lineRule="exact"/>
              <w:jc w:val="center"/>
              <w:rPr>
                <w:rFonts w:ascii="宋体"/>
              </w:rPr>
            </w:pPr>
            <w:r>
              <w:rPr>
                <w:rFonts w:hint="eastAsia" w:ascii="宋体"/>
                <w:lang w:val="en-US" w:eastAsia="zh-CN"/>
              </w:rPr>
              <w:t>1</w:t>
            </w:r>
            <w:r>
              <w:rPr>
                <w:rFonts w:hint="eastAsia" w:ascii="宋体"/>
              </w:rPr>
              <w:t>学时</w:t>
            </w:r>
          </w:p>
        </w:tc>
        <w:tc>
          <w:tcPr>
            <w:tcW w:w="1212" w:type="dxa"/>
            <w:vAlign w:val="center"/>
          </w:tcPr>
          <w:p>
            <w:pPr>
              <w:spacing w:line="300" w:lineRule="exact"/>
            </w:pPr>
            <w:r>
              <w:rPr>
                <w:rFonts w:hint="eastAsia" w:ascii="宋体" w:hAnsi="宋体" w:cs="宋体"/>
              </w:rPr>
              <w:t>课程目标1</w:t>
            </w:r>
          </w:p>
          <w:p>
            <w:pPr>
              <w:spacing w:line="300" w:lineRule="exact"/>
              <w:rPr>
                <w:rFonts w:ascii="宋体"/>
              </w:rPr>
            </w:pPr>
            <w:r>
              <w:rPr>
                <w:rFonts w:hint="eastAsia" w:ascii="宋体" w:hAnsi="宋体" w:cs="宋体"/>
              </w:rPr>
              <w:t>课程目标</w:t>
            </w:r>
            <w:r>
              <w:rPr>
                <w:rFonts w:hint="eastAsia" w:ascii="宋体" w:hAnsi="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jc w:val="center"/>
              <w:rPr>
                <w:rFonts w:ascii="宋体"/>
              </w:rPr>
            </w:pPr>
          </w:p>
        </w:tc>
        <w:tc>
          <w:tcPr>
            <w:tcW w:w="1588" w:type="dxa"/>
            <w:vMerge w:val="continue"/>
            <w:vAlign w:val="center"/>
          </w:tcPr>
          <w:p>
            <w:pPr>
              <w:spacing w:line="300" w:lineRule="exact"/>
              <w:jc w:val="center"/>
              <w:rPr>
                <w:rFonts w:ascii="宋体"/>
              </w:rPr>
            </w:pPr>
          </w:p>
        </w:tc>
        <w:tc>
          <w:tcPr>
            <w:tcW w:w="3629" w:type="dxa"/>
            <w:vAlign w:val="center"/>
          </w:tcPr>
          <w:p>
            <w:pPr>
              <w:spacing w:line="300" w:lineRule="exact"/>
              <w:rPr>
                <w:rFonts w:ascii="宋体"/>
              </w:rPr>
            </w:pPr>
            <w:r>
              <w:rPr>
                <w:rFonts w:hint="eastAsia" w:ascii="宋体"/>
              </w:rPr>
              <w:t>2.通货膨胀</w:t>
            </w:r>
          </w:p>
        </w:tc>
        <w:tc>
          <w:tcPr>
            <w:tcW w:w="1701" w:type="dxa"/>
            <w:vAlign w:val="center"/>
          </w:tcPr>
          <w:p>
            <w:pPr>
              <w:spacing w:line="300" w:lineRule="exact"/>
              <w:rPr>
                <w:rFonts w:ascii="宋体"/>
              </w:rPr>
            </w:pPr>
            <w:r>
              <w:rPr>
                <w:rFonts w:hint="eastAsia" w:ascii="宋体" w:hAnsi="宋体" w:cs="宋体"/>
              </w:rPr>
              <w:t>讲授、案例分析</w:t>
            </w:r>
          </w:p>
        </w:tc>
        <w:tc>
          <w:tcPr>
            <w:tcW w:w="1190" w:type="dxa"/>
            <w:vAlign w:val="center"/>
          </w:tcPr>
          <w:p>
            <w:pPr>
              <w:spacing w:line="300" w:lineRule="exact"/>
              <w:jc w:val="center"/>
              <w:rPr>
                <w:rFonts w:ascii="宋体"/>
              </w:rPr>
            </w:pPr>
            <w:r>
              <w:rPr>
                <w:rFonts w:hint="eastAsia" w:ascii="宋体"/>
              </w:rPr>
              <w:t>2学时</w:t>
            </w:r>
          </w:p>
        </w:tc>
        <w:tc>
          <w:tcPr>
            <w:tcW w:w="1212" w:type="dxa"/>
            <w:vAlign w:val="center"/>
          </w:tcPr>
          <w:p>
            <w:pPr>
              <w:spacing w:line="300" w:lineRule="exact"/>
            </w:pPr>
            <w:r>
              <w:rPr>
                <w:rFonts w:hint="eastAsia" w:ascii="宋体" w:hAnsi="宋体" w:cs="宋体"/>
              </w:rPr>
              <w:t>课程目标1</w:t>
            </w:r>
          </w:p>
          <w:p>
            <w:pPr>
              <w:spacing w:line="300" w:lineRule="exact"/>
              <w:rPr>
                <w:rFonts w:ascii="宋体"/>
              </w:rPr>
            </w:pPr>
            <w:r>
              <w:rPr>
                <w:rFonts w:hint="eastAsia" w:ascii="宋体" w:hAnsi="宋体" w:cs="宋体"/>
              </w:rPr>
              <w:t>课程目标</w:t>
            </w:r>
            <w:r>
              <w:rPr>
                <w:rFonts w:hint="eastAsia" w:ascii="宋体" w:hAnsi="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75" w:type="dxa"/>
            <w:vMerge w:val="continue"/>
            <w:vAlign w:val="center"/>
          </w:tcPr>
          <w:p>
            <w:pPr>
              <w:jc w:val="center"/>
              <w:rPr>
                <w:rFonts w:ascii="宋体"/>
              </w:rPr>
            </w:pPr>
          </w:p>
        </w:tc>
        <w:tc>
          <w:tcPr>
            <w:tcW w:w="1588" w:type="dxa"/>
            <w:vMerge w:val="continue"/>
            <w:vAlign w:val="center"/>
          </w:tcPr>
          <w:p>
            <w:pPr>
              <w:spacing w:line="300" w:lineRule="exact"/>
              <w:jc w:val="center"/>
              <w:rPr>
                <w:rFonts w:ascii="宋体"/>
              </w:rPr>
            </w:pPr>
          </w:p>
        </w:tc>
        <w:tc>
          <w:tcPr>
            <w:tcW w:w="3629" w:type="dxa"/>
            <w:vAlign w:val="center"/>
          </w:tcPr>
          <w:p>
            <w:pPr>
              <w:spacing w:line="300" w:lineRule="exact"/>
              <w:rPr>
                <w:rFonts w:ascii="宋体"/>
              </w:rPr>
            </w:pPr>
            <w:r>
              <w:rPr>
                <w:rFonts w:hint="eastAsia" w:ascii="宋体"/>
              </w:rPr>
              <w:t>3.经济周期</w:t>
            </w:r>
          </w:p>
        </w:tc>
        <w:tc>
          <w:tcPr>
            <w:tcW w:w="1701" w:type="dxa"/>
            <w:vAlign w:val="center"/>
          </w:tcPr>
          <w:p>
            <w:pPr>
              <w:spacing w:line="300" w:lineRule="exact"/>
              <w:jc w:val="left"/>
              <w:rPr>
                <w:rFonts w:ascii="宋体"/>
              </w:rPr>
            </w:pPr>
            <w:r>
              <w:rPr>
                <w:rFonts w:hint="eastAsia" w:ascii="宋体" w:hAnsi="宋体" w:cs="宋体"/>
              </w:rPr>
              <w:t>讲授</w:t>
            </w:r>
          </w:p>
        </w:tc>
        <w:tc>
          <w:tcPr>
            <w:tcW w:w="1190" w:type="dxa"/>
            <w:vAlign w:val="center"/>
          </w:tcPr>
          <w:p>
            <w:pPr>
              <w:spacing w:line="300" w:lineRule="exact"/>
              <w:jc w:val="center"/>
              <w:rPr>
                <w:rFonts w:ascii="宋体"/>
              </w:rPr>
            </w:pPr>
            <w:r>
              <w:rPr>
                <w:rFonts w:hint="eastAsia" w:ascii="宋体"/>
                <w:lang w:val="en-US" w:eastAsia="zh-CN"/>
              </w:rPr>
              <w:t>3</w:t>
            </w:r>
            <w:r>
              <w:rPr>
                <w:rFonts w:hint="eastAsia" w:ascii="宋体"/>
              </w:rPr>
              <w:t>学时</w:t>
            </w:r>
          </w:p>
        </w:tc>
        <w:tc>
          <w:tcPr>
            <w:tcW w:w="1212" w:type="dxa"/>
            <w:vAlign w:val="center"/>
          </w:tcPr>
          <w:p>
            <w:pPr>
              <w:spacing w:line="300" w:lineRule="exact"/>
              <w:rPr>
                <w:rFonts w:ascii="宋体"/>
              </w:rPr>
            </w:pPr>
            <w:r>
              <w:rPr>
                <w:rFonts w:hint="eastAsia" w:ascii="宋体"/>
              </w:rPr>
              <w:t>课程目标4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75" w:type="dxa"/>
            <w:vMerge w:val="restart"/>
            <w:vAlign w:val="center"/>
          </w:tcPr>
          <w:p>
            <w:pPr>
              <w:jc w:val="center"/>
              <w:rPr>
                <w:rFonts w:ascii="宋体"/>
              </w:rPr>
            </w:pPr>
            <w:r>
              <w:rPr>
                <w:rFonts w:ascii="宋体" w:hAnsi="宋体" w:cs="宋体"/>
              </w:rPr>
              <w:t>6</w:t>
            </w:r>
          </w:p>
        </w:tc>
        <w:tc>
          <w:tcPr>
            <w:tcW w:w="1588" w:type="dxa"/>
            <w:vMerge w:val="restart"/>
            <w:vAlign w:val="center"/>
          </w:tcPr>
          <w:p>
            <w:pPr>
              <w:spacing w:line="300" w:lineRule="exact"/>
              <w:jc w:val="center"/>
              <w:rPr>
                <w:rFonts w:ascii="宋体" w:hAnsi="宋体"/>
              </w:rPr>
            </w:pPr>
            <w:r>
              <w:rPr>
                <w:rFonts w:hint="eastAsia" w:ascii="宋体" w:hAnsi="宋体"/>
              </w:rPr>
              <w:t>第十四章</w:t>
            </w:r>
          </w:p>
          <w:p>
            <w:pPr>
              <w:spacing w:line="300" w:lineRule="exact"/>
              <w:jc w:val="center"/>
              <w:rPr>
                <w:rFonts w:ascii="宋体"/>
              </w:rPr>
            </w:pPr>
            <w:r>
              <w:rPr>
                <w:rFonts w:hint="eastAsia" w:ascii="宋体" w:hAnsi="宋体"/>
              </w:rPr>
              <w:t>经济增长和经济发展</w:t>
            </w:r>
          </w:p>
        </w:tc>
        <w:tc>
          <w:tcPr>
            <w:tcW w:w="3629" w:type="dxa"/>
            <w:vAlign w:val="center"/>
          </w:tcPr>
          <w:p>
            <w:pPr>
              <w:spacing w:line="300" w:lineRule="exact"/>
              <w:rPr>
                <w:rFonts w:ascii="宋体" w:hAnsi="宋体"/>
              </w:rPr>
            </w:pPr>
            <w:r>
              <w:rPr>
                <w:rFonts w:hint="eastAsia" w:ascii="宋体" w:hAnsi="宋体"/>
              </w:rPr>
              <w:t>1.经济增长的描述和事实</w:t>
            </w:r>
          </w:p>
        </w:tc>
        <w:tc>
          <w:tcPr>
            <w:tcW w:w="1701" w:type="dxa"/>
            <w:vAlign w:val="center"/>
          </w:tcPr>
          <w:p>
            <w:pPr>
              <w:spacing w:line="300" w:lineRule="exact"/>
              <w:jc w:val="left"/>
              <w:rPr>
                <w:rFonts w:ascii="宋体" w:hAnsi="宋体"/>
              </w:rPr>
            </w:pPr>
            <w:r>
              <w:rPr>
                <w:rFonts w:hint="eastAsia" w:ascii="宋体" w:hAnsi="宋体" w:cs="宋体"/>
              </w:rPr>
              <w:t>讲授</w:t>
            </w:r>
          </w:p>
        </w:tc>
        <w:tc>
          <w:tcPr>
            <w:tcW w:w="1190" w:type="dxa"/>
            <w:vAlign w:val="center"/>
          </w:tcPr>
          <w:p>
            <w:pPr>
              <w:spacing w:line="300" w:lineRule="exact"/>
              <w:jc w:val="center"/>
              <w:rPr>
                <w:rFonts w:ascii="宋体" w:hAnsi="宋体" w:cs="宋体"/>
              </w:rPr>
            </w:pPr>
            <w:r>
              <w:rPr>
                <w:rFonts w:hint="eastAsia" w:ascii="宋体" w:hAnsi="宋体" w:cs="宋体"/>
              </w:rPr>
              <w:t>1</w:t>
            </w:r>
            <w:r>
              <w:rPr>
                <w:rFonts w:ascii="宋体" w:hAnsi="宋体" w:cs="宋体"/>
              </w:rPr>
              <w:t>学时</w:t>
            </w:r>
          </w:p>
        </w:tc>
        <w:tc>
          <w:tcPr>
            <w:tcW w:w="1212" w:type="dxa"/>
            <w:vAlign w:val="center"/>
          </w:tcPr>
          <w:p>
            <w:pPr>
              <w:spacing w:line="300" w:lineRule="exact"/>
              <w:jc w:val="center"/>
              <w:rPr>
                <w:rFonts w:ascii="宋体" w:hAnsi="宋体" w:cs="宋体"/>
              </w:rPr>
            </w:pPr>
            <w:r>
              <w:rPr>
                <w:rFonts w:hint="eastAsia" w:ascii="宋体" w:hAnsi="宋体" w:cs="宋体"/>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75" w:type="dxa"/>
            <w:vMerge w:val="continue"/>
            <w:vAlign w:val="center"/>
          </w:tcPr>
          <w:p>
            <w:pPr>
              <w:jc w:val="center"/>
              <w:rPr>
                <w:rFonts w:ascii="宋体" w:hAnsi="宋体" w:cs="宋体"/>
              </w:rPr>
            </w:pPr>
          </w:p>
        </w:tc>
        <w:tc>
          <w:tcPr>
            <w:tcW w:w="1588" w:type="dxa"/>
            <w:vMerge w:val="continue"/>
            <w:vAlign w:val="center"/>
          </w:tcPr>
          <w:p>
            <w:pPr>
              <w:spacing w:line="300" w:lineRule="exact"/>
              <w:jc w:val="center"/>
              <w:rPr>
                <w:rFonts w:ascii="宋体" w:hAnsi="宋体"/>
              </w:rPr>
            </w:pPr>
          </w:p>
        </w:tc>
        <w:tc>
          <w:tcPr>
            <w:tcW w:w="3629" w:type="dxa"/>
            <w:vAlign w:val="center"/>
          </w:tcPr>
          <w:p>
            <w:pPr>
              <w:spacing w:line="300" w:lineRule="exact"/>
              <w:rPr>
                <w:rFonts w:ascii="宋体" w:hAnsi="宋体"/>
              </w:rPr>
            </w:pPr>
            <w:r>
              <w:rPr>
                <w:rFonts w:hint="eastAsia" w:ascii="宋体" w:hAnsi="宋体"/>
              </w:rPr>
              <w:t>2.增长核算</w:t>
            </w:r>
          </w:p>
          <w:p>
            <w:pPr>
              <w:spacing w:line="300" w:lineRule="exact"/>
              <w:rPr>
                <w:rFonts w:ascii="宋体" w:hAnsi="宋体"/>
              </w:rPr>
            </w:pPr>
            <w:r>
              <w:rPr>
                <w:rFonts w:hint="eastAsia" w:ascii="宋体" w:hAnsi="宋体"/>
              </w:rPr>
              <w:t>3.新古典增长模型</w:t>
            </w:r>
          </w:p>
        </w:tc>
        <w:tc>
          <w:tcPr>
            <w:tcW w:w="1701" w:type="dxa"/>
            <w:vAlign w:val="center"/>
          </w:tcPr>
          <w:p>
            <w:pPr>
              <w:spacing w:line="300" w:lineRule="exact"/>
              <w:jc w:val="left"/>
              <w:rPr>
                <w:rFonts w:ascii="宋体" w:hAnsi="宋体" w:cs="宋体"/>
              </w:rPr>
            </w:pPr>
            <w:r>
              <w:rPr>
                <w:rFonts w:hint="eastAsia" w:ascii="宋体" w:hAnsi="宋体" w:cs="宋体"/>
              </w:rPr>
              <w:t>讲授、案例分析、课堂训练</w:t>
            </w:r>
          </w:p>
        </w:tc>
        <w:tc>
          <w:tcPr>
            <w:tcW w:w="1190" w:type="dxa"/>
            <w:vAlign w:val="center"/>
          </w:tcPr>
          <w:p>
            <w:pPr>
              <w:spacing w:line="300" w:lineRule="exact"/>
              <w:jc w:val="center"/>
              <w:rPr>
                <w:rFonts w:ascii="宋体" w:hAnsi="宋体" w:cs="宋体"/>
              </w:rPr>
            </w:pPr>
            <w:r>
              <w:rPr>
                <w:rFonts w:hint="eastAsia" w:ascii="宋体" w:hAnsi="宋体" w:cs="宋体"/>
              </w:rPr>
              <w:t>4学时</w:t>
            </w:r>
          </w:p>
        </w:tc>
        <w:tc>
          <w:tcPr>
            <w:tcW w:w="1212" w:type="dxa"/>
            <w:vAlign w:val="center"/>
          </w:tcPr>
          <w:p>
            <w:pPr>
              <w:spacing w:line="300" w:lineRule="exact"/>
              <w:jc w:val="center"/>
              <w:rPr>
                <w:rFonts w:ascii="宋体" w:hAnsi="宋体" w:cs="宋体"/>
              </w:rPr>
            </w:pPr>
            <w:r>
              <w:rPr>
                <w:rFonts w:hint="eastAsia" w:ascii="宋体" w:hAnsi="宋体"/>
              </w:rPr>
              <w:t>课程目标3</w:t>
            </w:r>
          </w:p>
          <w:p>
            <w:pPr>
              <w:spacing w:line="300" w:lineRule="exact"/>
              <w:jc w:val="center"/>
              <w:rPr>
                <w:rFonts w:ascii="宋体" w:hAnsi="宋体"/>
              </w:rPr>
            </w:pPr>
            <w:r>
              <w:rPr>
                <w:rFonts w:hint="eastAsia" w:ascii="宋体" w:hAnsi="宋体"/>
              </w:rPr>
              <w:t>课程目标4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675" w:type="dxa"/>
            <w:vMerge w:val="continue"/>
            <w:vAlign w:val="center"/>
          </w:tcPr>
          <w:p>
            <w:pPr>
              <w:jc w:val="center"/>
              <w:rPr>
                <w:rFonts w:ascii="宋体"/>
              </w:rPr>
            </w:pPr>
          </w:p>
        </w:tc>
        <w:tc>
          <w:tcPr>
            <w:tcW w:w="1588" w:type="dxa"/>
            <w:vMerge w:val="continue"/>
            <w:vAlign w:val="center"/>
          </w:tcPr>
          <w:p>
            <w:pPr>
              <w:spacing w:line="300" w:lineRule="exact"/>
              <w:jc w:val="center"/>
              <w:rPr>
                <w:rFonts w:ascii="宋体"/>
              </w:rPr>
            </w:pPr>
          </w:p>
        </w:tc>
        <w:tc>
          <w:tcPr>
            <w:tcW w:w="3629" w:type="dxa"/>
            <w:vAlign w:val="center"/>
          </w:tcPr>
          <w:p>
            <w:pPr>
              <w:spacing w:line="300" w:lineRule="exact"/>
              <w:rPr>
                <w:rFonts w:ascii="宋体" w:hAnsi="宋体"/>
              </w:rPr>
            </w:pPr>
            <w:r>
              <w:rPr>
                <w:rFonts w:hint="eastAsia" w:ascii="宋体" w:hAnsi="宋体"/>
              </w:rPr>
              <w:t>4.内生增长理论</w:t>
            </w:r>
          </w:p>
          <w:p>
            <w:pPr>
              <w:spacing w:line="300" w:lineRule="exact"/>
              <w:rPr>
                <w:rFonts w:ascii="宋体" w:hAnsi="宋体"/>
              </w:rPr>
            </w:pPr>
            <w:r>
              <w:rPr>
                <w:rFonts w:hint="eastAsia" w:ascii="宋体" w:hAnsi="宋体"/>
              </w:rPr>
              <w:t>5.促进经济增长的政策</w:t>
            </w:r>
          </w:p>
        </w:tc>
        <w:tc>
          <w:tcPr>
            <w:tcW w:w="1701" w:type="dxa"/>
            <w:vAlign w:val="center"/>
          </w:tcPr>
          <w:p>
            <w:pPr>
              <w:spacing w:line="300" w:lineRule="exact"/>
              <w:jc w:val="left"/>
              <w:rPr>
                <w:rFonts w:ascii="宋体" w:hAnsi="宋体"/>
              </w:rPr>
            </w:pPr>
            <w:r>
              <w:rPr>
                <w:rFonts w:hint="eastAsia" w:ascii="宋体" w:hAnsi="宋体" w:cs="宋体"/>
              </w:rPr>
              <w:t>讲授、案例分析</w:t>
            </w:r>
          </w:p>
        </w:tc>
        <w:tc>
          <w:tcPr>
            <w:tcW w:w="1190" w:type="dxa"/>
            <w:vAlign w:val="center"/>
          </w:tcPr>
          <w:p>
            <w:pPr>
              <w:spacing w:line="300" w:lineRule="exact"/>
              <w:jc w:val="center"/>
              <w:rPr>
                <w:rFonts w:ascii="宋体" w:hAnsi="宋体" w:cs="宋体"/>
              </w:rPr>
            </w:pPr>
            <w:r>
              <w:rPr>
                <w:rFonts w:hint="eastAsia" w:ascii="宋体" w:hAnsi="宋体"/>
              </w:rPr>
              <w:t>3</w:t>
            </w:r>
            <w:r>
              <w:rPr>
                <w:rFonts w:ascii="宋体" w:hAnsi="宋体"/>
              </w:rPr>
              <w:t>学时</w:t>
            </w:r>
          </w:p>
        </w:tc>
        <w:tc>
          <w:tcPr>
            <w:tcW w:w="1212" w:type="dxa"/>
            <w:vAlign w:val="center"/>
          </w:tcPr>
          <w:p>
            <w:pPr>
              <w:spacing w:line="300" w:lineRule="exact"/>
              <w:jc w:val="center"/>
              <w:rPr>
                <w:rFonts w:ascii="宋体" w:hAnsi="宋体" w:cs="宋体"/>
              </w:rPr>
            </w:pPr>
            <w:r>
              <w:rPr>
                <w:rFonts w:hint="eastAsia" w:ascii="宋体" w:hAnsi="宋体"/>
              </w:rPr>
              <w:t>课程目标3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675" w:type="dxa"/>
            <w:vMerge w:val="continue"/>
            <w:vAlign w:val="center"/>
          </w:tcPr>
          <w:p>
            <w:pPr>
              <w:jc w:val="center"/>
              <w:rPr>
                <w:rFonts w:ascii="宋体"/>
              </w:rPr>
            </w:pPr>
          </w:p>
        </w:tc>
        <w:tc>
          <w:tcPr>
            <w:tcW w:w="1588" w:type="dxa"/>
            <w:vMerge w:val="continue"/>
            <w:vAlign w:val="center"/>
          </w:tcPr>
          <w:p>
            <w:pPr>
              <w:spacing w:line="300" w:lineRule="exact"/>
              <w:jc w:val="center"/>
              <w:rPr>
                <w:rFonts w:ascii="宋体"/>
              </w:rPr>
            </w:pPr>
          </w:p>
        </w:tc>
        <w:tc>
          <w:tcPr>
            <w:tcW w:w="3629" w:type="dxa"/>
            <w:vAlign w:val="center"/>
          </w:tcPr>
          <w:p>
            <w:pPr>
              <w:spacing w:line="300" w:lineRule="exact"/>
              <w:rPr>
                <w:rFonts w:ascii="宋体" w:hAnsi="宋体"/>
              </w:rPr>
            </w:pPr>
            <w:r>
              <w:rPr>
                <w:rFonts w:hint="eastAsia" w:ascii="宋体" w:hAnsi="宋体"/>
              </w:rPr>
              <w:t>6.经济发展指标及要素</w:t>
            </w:r>
          </w:p>
          <w:p>
            <w:pPr>
              <w:spacing w:line="300" w:lineRule="exact"/>
              <w:rPr>
                <w:rFonts w:ascii="宋体" w:hAnsi="宋体"/>
              </w:rPr>
            </w:pPr>
            <w:r>
              <w:rPr>
                <w:rFonts w:hint="eastAsia" w:ascii="宋体" w:hAnsi="宋体"/>
              </w:rPr>
              <w:t>7.经济发展的战略</w:t>
            </w:r>
          </w:p>
        </w:tc>
        <w:tc>
          <w:tcPr>
            <w:tcW w:w="1701" w:type="dxa"/>
            <w:vAlign w:val="center"/>
          </w:tcPr>
          <w:p>
            <w:pPr>
              <w:spacing w:line="300" w:lineRule="exact"/>
              <w:jc w:val="left"/>
              <w:rPr>
                <w:rFonts w:ascii="宋体" w:hAnsi="宋体"/>
              </w:rPr>
            </w:pPr>
            <w:r>
              <w:rPr>
                <w:rFonts w:hint="eastAsia" w:ascii="宋体" w:hAnsi="宋体" w:cs="宋体"/>
              </w:rPr>
              <w:t>讲授</w:t>
            </w:r>
          </w:p>
        </w:tc>
        <w:tc>
          <w:tcPr>
            <w:tcW w:w="1190" w:type="dxa"/>
            <w:vAlign w:val="center"/>
          </w:tcPr>
          <w:p>
            <w:pPr>
              <w:spacing w:line="300" w:lineRule="exact"/>
              <w:jc w:val="center"/>
              <w:rPr>
                <w:rFonts w:ascii="宋体" w:hAnsi="宋体"/>
              </w:rPr>
            </w:pPr>
            <w:r>
              <w:rPr>
                <w:rFonts w:hint="eastAsia" w:ascii="宋体" w:hAnsi="宋体"/>
              </w:rPr>
              <w:t>1</w:t>
            </w:r>
            <w:r>
              <w:rPr>
                <w:rFonts w:ascii="宋体" w:hAnsi="宋体"/>
              </w:rPr>
              <w:t>学时</w:t>
            </w:r>
          </w:p>
        </w:tc>
        <w:tc>
          <w:tcPr>
            <w:tcW w:w="1212" w:type="dxa"/>
            <w:vAlign w:val="center"/>
          </w:tcPr>
          <w:p>
            <w:pPr>
              <w:spacing w:line="300" w:lineRule="exact"/>
              <w:jc w:val="center"/>
              <w:rPr>
                <w:rFonts w:ascii="宋体" w:hAnsi="宋体"/>
              </w:rPr>
            </w:pPr>
            <w:r>
              <w:rPr>
                <w:rFonts w:hint="eastAsia" w:ascii="宋体" w:hAnsi="宋体"/>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75" w:type="dxa"/>
            <w:vMerge w:val="restart"/>
            <w:vAlign w:val="center"/>
          </w:tcPr>
          <w:p>
            <w:pPr>
              <w:jc w:val="center"/>
              <w:rPr>
                <w:rFonts w:ascii="宋体"/>
              </w:rPr>
            </w:pPr>
            <w:r>
              <w:rPr>
                <w:rFonts w:ascii="宋体" w:hAnsi="宋体" w:cs="宋体"/>
              </w:rPr>
              <w:t>7</w:t>
            </w:r>
          </w:p>
        </w:tc>
        <w:tc>
          <w:tcPr>
            <w:tcW w:w="1588" w:type="dxa"/>
            <w:vMerge w:val="restart"/>
            <w:vAlign w:val="center"/>
          </w:tcPr>
          <w:p>
            <w:pPr>
              <w:spacing w:line="300" w:lineRule="exact"/>
              <w:jc w:val="center"/>
              <w:rPr>
                <w:rFonts w:ascii="宋体" w:hAnsi="宋体"/>
              </w:rPr>
            </w:pPr>
            <w:r>
              <w:rPr>
                <w:rFonts w:hint="eastAsia" w:ascii="宋体" w:hAnsi="宋体"/>
              </w:rPr>
              <w:t>第十五章</w:t>
            </w:r>
          </w:p>
          <w:p>
            <w:pPr>
              <w:spacing w:line="300" w:lineRule="exact"/>
              <w:jc w:val="center"/>
              <w:rPr>
                <w:rFonts w:ascii="宋体" w:hAnsi="宋体"/>
              </w:rPr>
            </w:pPr>
            <w:r>
              <w:rPr>
                <w:rFonts w:hint="eastAsia" w:ascii="宋体" w:hAnsi="宋体"/>
              </w:rPr>
              <w:t>开放经济的宏观经济学</w:t>
            </w:r>
          </w:p>
        </w:tc>
        <w:tc>
          <w:tcPr>
            <w:tcW w:w="3629" w:type="dxa"/>
            <w:vAlign w:val="center"/>
          </w:tcPr>
          <w:p>
            <w:pPr>
              <w:spacing w:line="300" w:lineRule="exact"/>
              <w:rPr>
                <w:rFonts w:ascii="宋体" w:hAnsi="宋体"/>
              </w:rPr>
            </w:pPr>
            <w:r>
              <w:rPr>
                <w:rFonts w:ascii="宋体" w:hAnsi="宋体" w:cs="宋体"/>
              </w:rPr>
              <w:t>1.</w:t>
            </w:r>
            <w:r>
              <w:rPr>
                <w:rFonts w:hint="eastAsia" w:ascii="宋体" w:hAnsi="宋体" w:cs="宋体"/>
              </w:rPr>
              <w:t>国际收支与汇率</w:t>
            </w:r>
          </w:p>
        </w:tc>
        <w:tc>
          <w:tcPr>
            <w:tcW w:w="1701" w:type="dxa"/>
            <w:vAlign w:val="center"/>
          </w:tcPr>
          <w:p>
            <w:pPr>
              <w:spacing w:line="300" w:lineRule="exact"/>
              <w:jc w:val="left"/>
              <w:rPr>
                <w:rFonts w:ascii="宋体" w:hAnsi="宋体"/>
              </w:rPr>
            </w:pPr>
            <w:r>
              <w:rPr>
                <w:rFonts w:hint="eastAsia" w:ascii="宋体" w:hAnsi="宋体" w:cs="宋体"/>
              </w:rPr>
              <w:t>讲授、案例分析</w:t>
            </w:r>
          </w:p>
        </w:tc>
        <w:tc>
          <w:tcPr>
            <w:tcW w:w="1190" w:type="dxa"/>
            <w:vAlign w:val="center"/>
          </w:tcPr>
          <w:p>
            <w:pPr>
              <w:spacing w:line="300" w:lineRule="exact"/>
              <w:jc w:val="center"/>
              <w:rPr>
                <w:rFonts w:ascii="宋体" w:hAnsi="宋体"/>
              </w:rPr>
            </w:pPr>
            <w:r>
              <w:rPr>
                <w:rFonts w:hint="eastAsia" w:ascii="宋体" w:hAnsi="宋体" w:cs="宋体"/>
              </w:rPr>
              <w:t>1</w:t>
            </w:r>
            <w:r>
              <w:rPr>
                <w:rFonts w:ascii="宋体" w:hAnsi="宋体" w:cs="宋体"/>
              </w:rPr>
              <w:t>学时</w:t>
            </w:r>
          </w:p>
        </w:tc>
        <w:tc>
          <w:tcPr>
            <w:tcW w:w="1212" w:type="dxa"/>
            <w:vAlign w:val="center"/>
          </w:tcPr>
          <w:p>
            <w:pPr>
              <w:spacing w:line="300" w:lineRule="exact"/>
              <w:jc w:val="center"/>
              <w:rPr>
                <w:rFonts w:ascii="宋体" w:hAnsi="宋体"/>
              </w:rPr>
            </w:pPr>
            <w:r>
              <w:rPr>
                <w:rFonts w:hint="eastAsia" w:ascii="宋体" w:hAnsi="宋体" w:cs="宋体"/>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675" w:type="dxa"/>
            <w:vMerge w:val="continue"/>
            <w:vAlign w:val="center"/>
          </w:tcPr>
          <w:p>
            <w:pPr>
              <w:jc w:val="center"/>
              <w:rPr>
                <w:rFonts w:ascii="宋体"/>
              </w:rPr>
            </w:pPr>
          </w:p>
        </w:tc>
        <w:tc>
          <w:tcPr>
            <w:tcW w:w="1588" w:type="dxa"/>
            <w:vMerge w:val="continue"/>
            <w:vAlign w:val="center"/>
          </w:tcPr>
          <w:p>
            <w:pPr>
              <w:spacing w:line="300" w:lineRule="exact"/>
              <w:jc w:val="center"/>
              <w:rPr>
                <w:rFonts w:ascii="宋体"/>
              </w:rPr>
            </w:pPr>
          </w:p>
        </w:tc>
        <w:tc>
          <w:tcPr>
            <w:tcW w:w="3629" w:type="dxa"/>
            <w:vAlign w:val="center"/>
          </w:tcPr>
          <w:p>
            <w:pPr>
              <w:spacing w:line="300" w:lineRule="exact"/>
              <w:rPr>
                <w:rFonts w:ascii="宋体" w:hAnsi="宋体" w:cs="宋体"/>
              </w:rPr>
            </w:pPr>
            <w:r>
              <w:rPr>
                <w:rFonts w:hint="eastAsia" w:ascii="宋体" w:hAnsi="宋体" w:cs="宋体"/>
              </w:rPr>
              <w:t>2.蒙代尔-弗莱明模型</w:t>
            </w:r>
          </w:p>
          <w:p>
            <w:pPr>
              <w:spacing w:line="300" w:lineRule="exact"/>
              <w:rPr>
                <w:rFonts w:ascii="宋体" w:hAnsi="宋体" w:cs="宋体"/>
              </w:rPr>
            </w:pPr>
            <w:r>
              <w:rPr>
                <w:rFonts w:hint="eastAsia" w:ascii="宋体" w:hAnsi="宋体" w:cs="宋体"/>
              </w:rPr>
              <w:t>3.固定汇率制下国际收支调整</w:t>
            </w:r>
          </w:p>
          <w:p>
            <w:pPr>
              <w:spacing w:line="300" w:lineRule="exact"/>
              <w:rPr>
                <w:rFonts w:ascii="宋体" w:hAnsi="宋体" w:cs="宋体"/>
              </w:rPr>
            </w:pPr>
            <w:r>
              <w:rPr>
                <w:rFonts w:hint="eastAsia" w:ascii="宋体" w:hAnsi="宋体" w:cs="宋体"/>
              </w:rPr>
              <w:t>4.浮动汇率制下国际收支调整</w:t>
            </w:r>
          </w:p>
        </w:tc>
        <w:tc>
          <w:tcPr>
            <w:tcW w:w="1701" w:type="dxa"/>
            <w:vAlign w:val="center"/>
          </w:tcPr>
          <w:p>
            <w:pPr>
              <w:spacing w:line="300" w:lineRule="exact"/>
              <w:jc w:val="left"/>
              <w:rPr>
                <w:rFonts w:ascii="宋体" w:hAnsi="宋体" w:cs="宋体"/>
              </w:rPr>
            </w:pPr>
            <w:r>
              <w:rPr>
                <w:rFonts w:hint="eastAsia" w:ascii="宋体" w:hAnsi="宋体" w:cs="宋体"/>
              </w:rPr>
              <w:t>讲授、案例分析、模型分析</w:t>
            </w:r>
          </w:p>
        </w:tc>
        <w:tc>
          <w:tcPr>
            <w:tcW w:w="1190" w:type="dxa"/>
            <w:vAlign w:val="center"/>
          </w:tcPr>
          <w:p>
            <w:pPr>
              <w:spacing w:line="300" w:lineRule="exact"/>
              <w:jc w:val="center"/>
              <w:rPr>
                <w:rFonts w:ascii="宋体" w:hAnsi="宋体" w:cs="宋体"/>
              </w:rPr>
            </w:pPr>
            <w:r>
              <w:rPr>
                <w:rFonts w:hint="eastAsia" w:ascii="宋体" w:hAnsi="宋体" w:cs="宋体"/>
              </w:rPr>
              <w:t>4学时</w:t>
            </w:r>
          </w:p>
        </w:tc>
        <w:tc>
          <w:tcPr>
            <w:tcW w:w="1212" w:type="dxa"/>
            <w:vAlign w:val="center"/>
          </w:tcPr>
          <w:p>
            <w:pPr>
              <w:spacing w:line="300" w:lineRule="exact"/>
              <w:jc w:val="center"/>
              <w:rPr>
                <w:rFonts w:ascii="宋体" w:hAnsi="宋体" w:cs="宋体"/>
              </w:rPr>
            </w:pPr>
            <w:r>
              <w:rPr>
                <w:rFonts w:hint="eastAsia" w:ascii="宋体" w:hAnsi="宋体" w:cs="宋体"/>
              </w:rPr>
              <w:t>课程目标2</w:t>
            </w:r>
          </w:p>
          <w:p>
            <w:pPr>
              <w:spacing w:line="300" w:lineRule="exact"/>
              <w:jc w:val="center"/>
              <w:rPr>
                <w:rFonts w:ascii="宋体" w:hAnsi="宋体" w:cs="宋体"/>
              </w:rPr>
            </w:pPr>
            <w:r>
              <w:rPr>
                <w:rFonts w:hint="eastAsia" w:ascii="宋体" w:hAnsi="宋体" w:cs="宋体"/>
              </w:rPr>
              <w:t>课程目标3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675" w:type="dxa"/>
            <w:vMerge w:val="restart"/>
            <w:vAlign w:val="center"/>
          </w:tcPr>
          <w:p>
            <w:pPr>
              <w:jc w:val="center"/>
              <w:rPr>
                <w:rFonts w:ascii="宋体"/>
              </w:rPr>
            </w:pPr>
            <w:r>
              <w:rPr>
                <w:rFonts w:ascii="宋体" w:hAnsi="宋体" w:cs="宋体"/>
              </w:rPr>
              <w:t>8</w:t>
            </w:r>
          </w:p>
        </w:tc>
        <w:tc>
          <w:tcPr>
            <w:tcW w:w="1588" w:type="dxa"/>
            <w:vMerge w:val="restart"/>
            <w:vAlign w:val="center"/>
          </w:tcPr>
          <w:p>
            <w:pPr>
              <w:spacing w:line="300" w:lineRule="exact"/>
              <w:jc w:val="center"/>
              <w:rPr>
                <w:rFonts w:ascii="宋体" w:hAnsi="宋体"/>
              </w:rPr>
            </w:pPr>
            <w:r>
              <w:rPr>
                <w:rFonts w:hint="eastAsia" w:ascii="宋体" w:hAnsi="宋体" w:cs="宋体"/>
              </w:rPr>
              <w:t>第十六章</w:t>
            </w:r>
          </w:p>
          <w:p>
            <w:pPr>
              <w:spacing w:line="300" w:lineRule="exact"/>
              <w:jc w:val="center"/>
            </w:pPr>
            <w:r>
              <w:rPr>
                <w:rFonts w:hint="eastAsia" w:ascii="宋体" w:hAnsi="宋体" w:cs="宋体"/>
              </w:rPr>
              <w:t>宏观经济政策</w:t>
            </w:r>
          </w:p>
        </w:tc>
        <w:tc>
          <w:tcPr>
            <w:tcW w:w="3629" w:type="dxa"/>
            <w:vAlign w:val="center"/>
          </w:tcPr>
          <w:p>
            <w:pPr>
              <w:spacing w:line="300" w:lineRule="exact"/>
              <w:rPr>
                <w:rFonts w:ascii="宋体" w:hAnsi="宋体"/>
              </w:rPr>
            </w:pPr>
            <w:r>
              <w:rPr>
                <w:rFonts w:ascii="宋体" w:hAnsi="宋体"/>
              </w:rPr>
              <w:t>1</w:t>
            </w:r>
            <w:r>
              <w:rPr>
                <w:rFonts w:hint="eastAsia" w:ascii="宋体" w:hAnsi="宋体"/>
              </w:rPr>
              <w:t>.宏观经济政策目标</w:t>
            </w:r>
          </w:p>
          <w:p>
            <w:pPr>
              <w:spacing w:line="300" w:lineRule="exact"/>
              <w:rPr>
                <w:rFonts w:ascii="宋体" w:hAnsi="宋体" w:cs="宋体"/>
              </w:rPr>
            </w:pPr>
            <w:r>
              <w:rPr>
                <w:rFonts w:ascii="宋体" w:hAnsi="宋体"/>
              </w:rPr>
              <w:t>2.</w:t>
            </w:r>
            <w:r>
              <w:rPr>
                <w:rFonts w:hint="eastAsia" w:ascii="宋体" w:hAnsi="宋体"/>
              </w:rPr>
              <w:t>财政政策和货币政策</w:t>
            </w:r>
          </w:p>
        </w:tc>
        <w:tc>
          <w:tcPr>
            <w:tcW w:w="1701" w:type="dxa"/>
            <w:vAlign w:val="center"/>
          </w:tcPr>
          <w:p>
            <w:pPr>
              <w:spacing w:line="300" w:lineRule="exact"/>
              <w:jc w:val="left"/>
              <w:rPr>
                <w:rFonts w:ascii="宋体" w:hAnsi="宋体" w:cs="宋体"/>
              </w:rPr>
            </w:pPr>
            <w:r>
              <w:rPr>
                <w:rFonts w:hint="eastAsia" w:ascii="宋体" w:hAnsi="宋体" w:cs="宋体"/>
              </w:rPr>
              <w:t>讲授、案例分析</w:t>
            </w:r>
          </w:p>
        </w:tc>
        <w:tc>
          <w:tcPr>
            <w:tcW w:w="1190" w:type="dxa"/>
            <w:vAlign w:val="center"/>
          </w:tcPr>
          <w:p>
            <w:pPr>
              <w:spacing w:line="300" w:lineRule="exact"/>
              <w:jc w:val="center"/>
              <w:rPr>
                <w:rFonts w:ascii="宋体" w:hAnsi="宋体" w:cs="宋体"/>
              </w:rPr>
            </w:pPr>
            <w:r>
              <w:rPr>
                <w:rFonts w:hint="eastAsia" w:ascii="宋体" w:hAnsi="宋体"/>
              </w:rPr>
              <w:t>2</w:t>
            </w:r>
            <w:r>
              <w:rPr>
                <w:rFonts w:ascii="宋体" w:hAnsi="宋体"/>
              </w:rPr>
              <w:t>学时</w:t>
            </w:r>
          </w:p>
        </w:tc>
        <w:tc>
          <w:tcPr>
            <w:tcW w:w="1212" w:type="dxa"/>
            <w:vAlign w:val="center"/>
          </w:tcPr>
          <w:p>
            <w:pPr>
              <w:spacing w:line="300" w:lineRule="exact"/>
              <w:jc w:val="center"/>
              <w:rPr>
                <w:rFonts w:ascii="宋体" w:hAnsi="宋体"/>
              </w:rPr>
            </w:pPr>
            <w:r>
              <w:rPr>
                <w:rFonts w:hint="eastAsia" w:ascii="宋体" w:hAnsi="宋体"/>
              </w:rPr>
              <w:t>课程目标1</w:t>
            </w:r>
          </w:p>
          <w:p>
            <w:pPr>
              <w:spacing w:line="300" w:lineRule="exact"/>
              <w:jc w:val="center"/>
              <w:rPr>
                <w:rFonts w:ascii="宋体" w:hAnsi="宋体" w:cs="宋体"/>
              </w:rPr>
            </w:pPr>
            <w:r>
              <w:rPr>
                <w:rFonts w:hint="eastAsia" w:ascii="宋体" w:hAnsi="宋体"/>
              </w:rPr>
              <w:t>课程目标2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675" w:type="dxa"/>
            <w:vMerge w:val="continue"/>
            <w:vAlign w:val="center"/>
          </w:tcPr>
          <w:p>
            <w:pPr>
              <w:jc w:val="center"/>
              <w:rPr>
                <w:rFonts w:ascii="宋体" w:hAnsi="宋体" w:cs="宋体"/>
              </w:rPr>
            </w:pPr>
          </w:p>
        </w:tc>
        <w:tc>
          <w:tcPr>
            <w:tcW w:w="1588" w:type="dxa"/>
            <w:vMerge w:val="continue"/>
            <w:vAlign w:val="center"/>
          </w:tcPr>
          <w:p>
            <w:pPr>
              <w:spacing w:line="300" w:lineRule="exact"/>
              <w:jc w:val="center"/>
              <w:rPr>
                <w:rFonts w:ascii="宋体" w:hAnsi="宋体" w:cs="宋体"/>
              </w:rPr>
            </w:pPr>
          </w:p>
        </w:tc>
        <w:tc>
          <w:tcPr>
            <w:tcW w:w="3629" w:type="dxa"/>
            <w:vAlign w:val="center"/>
          </w:tcPr>
          <w:p>
            <w:pPr>
              <w:spacing w:line="300" w:lineRule="exact"/>
              <w:rPr>
                <w:rFonts w:ascii="宋体" w:hAnsi="宋体"/>
              </w:rPr>
            </w:pPr>
            <w:r>
              <w:rPr>
                <w:rFonts w:ascii="宋体" w:hAnsi="宋体"/>
              </w:rPr>
              <w:t>3</w:t>
            </w:r>
            <w:r>
              <w:rPr>
                <w:rFonts w:hint="eastAsia" w:ascii="宋体" w:hAnsi="宋体"/>
              </w:rPr>
              <w:t>.财政政策和货币政策的局限性与协调</w:t>
            </w:r>
          </w:p>
          <w:p>
            <w:pPr>
              <w:spacing w:line="300" w:lineRule="exact"/>
              <w:rPr>
                <w:rFonts w:ascii="宋体" w:hAnsi="宋体"/>
              </w:rPr>
            </w:pPr>
            <w:r>
              <w:rPr>
                <w:rFonts w:hint="eastAsia" w:ascii="宋体" w:hAnsi="宋体"/>
              </w:rPr>
              <w:t>4.供给管理政策</w:t>
            </w:r>
          </w:p>
        </w:tc>
        <w:tc>
          <w:tcPr>
            <w:tcW w:w="1701" w:type="dxa"/>
            <w:vAlign w:val="center"/>
          </w:tcPr>
          <w:p>
            <w:pPr>
              <w:spacing w:line="300" w:lineRule="exact"/>
              <w:jc w:val="left"/>
              <w:rPr>
                <w:rFonts w:ascii="宋体" w:hAnsi="宋体"/>
              </w:rPr>
            </w:pPr>
            <w:r>
              <w:rPr>
                <w:rFonts w:hint="eastAsia" w:ascii="宋体" w:hAnsi="宋体" w:cs="宋体"/>
              </w:rPr>
              <w:t>讲授、案例分析</w:t>
            </w:r>
          </w:p>
        </w:tc>
        <w:tc>
          <w:tcPr>
            <w:tcW w:w="1190" w:type="dxa"/>
            <w:vAlign w:val="center"/>
          </w:tcPr>
          <w:p>
            <w:pPr>
              <w:spacing w:line="300" w:lineRule="exact"/>
              <w:jc w:val="center"/>
              <w:rPr>
                <w:rFonts w:ascii="宋体" w:hAnsi="宋体"/>
              </w:rPr>
            </w:pPr>
            <w:r>
              <w:rPr>
                <w:rFonts w:hint="eastAsia" w:ascii="宋体" w:hAnsi="宋体"/>
              </w:rPr>
              <w:t>3</w:t>
            </w:r>
            <w:r>
              <w:rPr>
                <w:rFonts w:ascii="宋体" w:hAnsi="宋体"/>
              </w:rPr>
              <w:t>学时</w:t>
            </w:r>
          </w:p>
        </w:tc>
        <w:tc>
          <w:tcPr>
            <w:tcW w:w="1212" w:type="dxa"/>
            <w:vAlign w:val="center"/>
          </w:tcPr>
          <w:p>
            <w:pPr>
              <w:spacing w:line="300" w:lineRule="exact"/>
              <w:jc w:val="center"/>
              <w:rPr>
                <w:rFonts w:ascii="宋体" w:hAnsi="宋体" w:cs="宋体"/>
              </w:rPr>
            </w:pPr>
            <w:r>
              <w:rPr>
                <w:rFonts w:hint="eastAsia" w:ascii="宋体" w:hAnsi="宋体"/>
              </w:rPr>
              <w:t>课程目标3</w:t>
            </w:r>
          </w:p>
          <w:p>
            <w:pPr>
              <w:spacing w:line="300" w:lineRule="exact"/>
              <w:jc w:val="center"/>
              <w:rPr>
                <w:rFonts w:ascii="宋体" w:hAnsi="宋体"/>
              </w:rPr>
            </w:pPr>
            <w:r>
              <w:rPr>
                <w:rFonts w:hint="eastAsia" w:ascii="宋体" w:hAnsi="宋体"/>
              </w:rPr>
              <w:t>课程目标4</w:t>
            </w:r>
          </w:p>
        </w:tc>
      </w:tr>
    </w:tbl>
    <w:p>
      <w:pPr>
        <w:spacing w:beforeLines="100" w:afterLines="50" w:line="360" w:lineRule="auto"/>
        <w:jc w:val="left"/>
        <w:outlineLvl w:val="0"/>
        <w:rPr>
          <w:rFonts w:ascii="黑体" w:hAnsi="黑体" w:eastAsia="黑体"/>
          <w:sz w:val="30"/>
          <w:szCs w:val="30"/>
        </w:rPr>
      </w:pPr>
      <w:bookmarkStart w:id="7" w:name="_Toc4406549"/>
      <w:r>
        <w:rPr>
          <w:rFonts w:hint="eastAsia" w:ascii="黑体" w:hAnsi="黑体" w:eastAsia="黑体" w:cs="黑体"/>
          <w:sz w:val="30"/>
          <w:szCs w:val="30"/>
        </w:rPr>
        <w:t>五、课程目标与考核内容</w:t>
      </w:r>
      <w:bookmarkEnd w:id="7"/>
    </w:p>
    <w:tbl>
      <w:tblPr>
        <w:tblStyle w:val="9"/>
        <w:tblW w:w="9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21" w:type="dxa"/>
          <w:bottom w:w="0" w:type="dxa"/>
          <w:right w:w="221" w:type="dxa"/>
        </w:tblCellMar>
      </w:tblPr>
      <w:tblGrid>
        <w:gridCol w:w="1979"/>
        <w:gridCol w:w="7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spacing w:line="280" w:lineRule="exact"/>
              <w:jc w:val="center"/>
              <w:rPr>
                <w:rFonts w:ascii="宋体"/>
                <w:b/>
                <w:bCs/>
              </w:rPr>
            </w:pPr>
            <w:r>
              <w:rPr>
                <w:rFonts w:hint="eastAsia" w:ascii="宋体" w:hAnsi="宋体" w:cs="宋体"/>
                <w:b/>
                <w:bCs/>
              </w:rPr>
              <w:t>课程目标</w:t>
            </w:r>
          </w:p>
        </w:tc>
        <w:tc>
          <w:tcPr>
            <w:tcW w:w="7505" w:type="dxa"/>
            <w:vAlign w:val="center"/>
          </w:tcPr>
          <w:p>
            <w:pPr>
              <w:spacing w:line="280" w:lineRule="exact"/>
              <w:jc w:val="center"/>
              <w:rPr>
                <w:rFonts w:ascii="宋体"/>
                <w:b/>
                <w:bCs/>
              </w:rPr>
            </w:pPr>
            <w:r>
              <w:rPr>
                <w:rFonts w:hint="eastAsia" w:ascii="宋体" w:hAnsi="宋体" w:cs="宋体"/>
                <w:b/>
                <w:bCs/>
              </w:rPr>
              <w:t>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jc w:val="center"/>
              <w:rPr>
                <w:rFonts w:ascii="宋体"/>
              </w:rPr>
            </w:pPr>
            <w:r>
              <w:rPr>
                <w:rFonts w:hint="eastAsia" w:ascii="宋体" w:hAnsi="宋体" w:cs="宋体"/>
              </w:rPr>
              <w:t>课程目标</w:t>
            </w:r>
            <w:r>
              <w:rPr>
                <w:rFonts w:ascii="宋体" w:hAnsi="宋体" w:cs="宋体"/>
              </w:rPr>
              <w:t>1</w:t>
            </w:r>
          </w:p>
        </w:tc>
        <w:tc>
          <w:tcPr>
            <w:tcW w:w="7505" w:type="dxa"/>
            <w:tcMar>
              <w:top w:w="0" w:type="dxa"/>
              <w:left w:w="113" w:type="dxa"/>
              <w:bottom w:w="0" w:type="dxa"/>
              <w:right w:w="113" w:type="dxa"/>
            </w:tcMar>
            <w:vAlign w:val="center"/>
          </w:tcPr>
          <w:p>
            <w:pPr>
              <w:rPr>
                <w:rFonts w:ascii="宋体" w:hAnsi="宋体" w:cs="宋体"/>
              </w:rPr>
            </w:pPr>
            <w:r>
              <w:rPr>
                <w:rFonts w:hint="eastAsia" w:cs="宋体"/>
              </w:rPr>
              <w:t>宏观经济学的产生和发展；</w:t>
            </w:r>
            <w:r>
              <w:rPr>
                <w:rFonts w:hint="eastAsia" w:ascii="宋体" w:hAnsi="宋体" w:cs="宋体"/>
              </w:rPr>
              <w:t>国内生产总值；价格水平及其测量；失业及其衡量；</w:t>
            </w:r>
            <w:r>
              <w:rPr>
                <w:rFonts w:hint="eastAsia" w:ascii="宋体" w:hAnsi="宋体"/>
              </w:rPr>
              <w:t>IS曲线；LM曲线；总需求；总供给；失业；通货膨胀；经济周期；</w:t>
            </w:r>
            <w:r>
              <w:rPr>
                <w:rFonts w:hint="eastAsia" w:ascii="宋体" w:hAnsi="宋体" w:cs="宋体"/>
              </w:rPr>
              <w:t>国际收支与汇率；</w:t>
            </w:r>
            <w:r>
              <w:rPr>
                <w:rFonts w:hint="eastAsia" w:ascii="宋体" w:hAnsi="宋体"/>
              </w:rPr>
              <w:t>宏观经济政策目标；经济增长的描述和事实；经济发展指标及要素；经济发展的战略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jc w:val="center"/>
              <w:rPr>
                <w:rFonts w:ascii="Times New Roman" w:hAnsi="Times New Roman" w:cs="Times New Roman"/>
              </w:rPr>
            </w:pPr>
            <w:r>
              <w:rPr>
                <w:rFonts w:hint="eastAsia" w:ascii="Times New Roman" w:hAnsi="Times New Roman" w:cs="宋体"/>
              </w:rPr>
              <w:t>课程目标</w:t>
            </w:r>
            <w:r>
              <w:rPr>
                <w:rFonts w:ascii="Times New Roman" w:hAnsi="Times New Roman" w:cs="Times New Roman"/>
              </w:rPr>
              <w:t>2</w:t>
            </w:r>
          </w:p>
        </w:tc>
        <w:tc>
          <w:tcPr>
            <w:tcW w:w="7505" w:type="dxa"/>
            <w:vAlign w:val="center"/>
          </w:tcPr>
          <w:p>
            <w:pPr>
              <w:tabs>
                <w:tab w:val="left" w:pos="-106"/>
              </w:tabs>
              <w:adjustRightInd w:val="0"/>
              <w:snapToGrid w:val="0"/>
              <w:ind w:left="-105" w:leftChars="-50"/>
              <w:jc w:val="left"/>
              <w:rPr>
                <w:rFonts w:ascii="宋体"/>
              </w:rPr>
            </w:pPr>
            <w:r>
              <w:rPr>
                <w:rFonts w:hint="eastAsia" w:ascii="宋体" w:hAnsi="宋体"/>
              </w:rPr>
              <w:t>IS-LM模型；总需求-总供给模型；奥肯定律；</w:t>
            </w:r>
            <w:r>
              <w:rPr>
                <w:rFonts w:hint="eastAsia" w:ascii="宋体" w:hAnsi="宋体" w:cs="宋体"/>
              </w:rPr>
              <w:t>蒙代尔-弗莱明模型；</w:t>
            </w:r>
            <w:r>
              <w:rPr>
                <w:rFonts w:hint="eastAsia" w:ascii="宋体" w:hAnsi="宋体"/>
              </w:rPr>
              <w:t>财政政策和货币政策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jc w:val="center"/>
              <w:rPr>
                <w:rFonts w:ascii="宋体"/>
              </w:rPr>
            </w:pPr>
            <w:r>
              <w:rPr>
                <w:rFonts w:hint="eastAsia" w:ascii="宋体" w:hAnsi="宋体" w:cs="宋体"/>
              </w:rPr>
              <w:t>课程目标</w:t>
            </w:r>
            <w:r>
              <w:rPr>
                <w:rFonts w:ascii="宋体" w:hAnsi="宋体" w:cs="宋体"/>
              </w:rPr>
              <w:t>3</w:t>
            </w:r>
          </w:p>
        </w:tc>
        <w:tc>
          <w:tcPr>
            <w:tcW w:w="7505" w:type="dxa"/>
            <w:vAlign w:val="center"/>
          </w:tcPr>
          <w:p>
            <w:pPr>
              <w:adjustRightInd w:val="0"/>
              <w:ind w:left="-108"/>
              <w:jc w:val="left"/>
              <w:rPr>
                <w:rFonts w:ascii="宋体" w:hAnsi="宋体" w:cs="宋体"/>
              </w:rPr>
            </w:pPr>
            <w:r>
              <w:rPr>
                <w:rFonts w:hint="eastAsia" w:ascii="宋体" w:hAnsi="宋体" w:cs="宋体"/>
              </w:rPr>
              <w:t>宏观经济的基本指标及其测量；均衡国民收入的决定；短期国民收入的决定因素：消费和储蓄；短期国民收入的决定因素：投资需求；短期国民收入的决定因素：政府需求；短期国民收入的决定因素：国外需求；总需求-总供给模型对外来冲击的反应；菲利普斯曲线和预期理论；增长核算；新古典增长模型；内生增长理论；促进经济增长的政策；固定汇率制下国际收支调整；浮动汇率制下国际收支调整；供给管理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jc w:val="center"/>
              <w:rPr>
                <w:rFonts w:ascii="宋体"/>
              </w:rPr>
            </w:pPr>
            <w:bookmarkStart w:id="8" w:name="_Toc4406550"/>
            <w:r>
              <w:rPr>
                <w:rFonts w:hint="eastAsia" w:ascii="宋体" w:hAnsi="宋体" w:cs="宋体"/>
              </w:rPr>
              <w:t>课程目标</w:t>
            </w:r>
            <w:r>
              <w:rPr>
                <w:rFonts w:ascii="宋体" w:hAnsi="宋体" w:cs="宋体"/>
              </w:rPr>
              <w:t>4</w:t>
            </w:r>
          </w:p>
        </w:tc>
        <w:tc>
          <w:tcPr>
            <w:tcW w:w="7505" w:type="dxa"/>
            <w:vAlign w:val="center"/>
          </w:tcPr>
          <w:p>
            <w:pPr>
              <w:adjustRightInd w:val="0"/>
              <w:ind w:left="-108"/>
              <w:jc w:val="left"/>
            </w:pPr>
            <w:r>
              <w:rPr>
                <w:rFonts w:hint="eastAsia" w:ascii="宋体" w:hAnsi="宋体" w:cs="宋体"/>
              </w:rPr>
              <w:t>影响需求的重要因素：乘数；</w:t>
            </w:r>
            <w:r>
              <w:rPr>
                <w:rFonts w:hint="eastAsia" w:ascii="宋体" w:hAnsi="宋体"/>
              </w:rPr>
              <w:t>实际经济周期理论；新古典增长模型；财政政策和货币政策的局限性与协调</w:t>
            </w:r>
          </w:p>
        </w:tc>
      </w:tr>
    </w:tbl>
    <w:p>
      <w:pPr>
        <w:spacing w:beforeLines="100" w:afterLines="50" w:line="360" w:lineRule="auto"/>
        <w:jc w:val="left"/>
        <w:outlineLvl w:val="0"/>
        <w:rPr>
          <w:rFonts w:ascii="黑体" w:hAnsi="黑体" w:eastAsia="黑体"/>
          <w:sz w:val="30"/>
          <w:szCs w:val="30"/>
        </w:rPr>
      </w:pPr>
      <w:r>
        <w:rPr>
          <w:rFonts w:hint="eastAsia" w:ascii="黑体" w:hAnsi="黑体" w:eastAsia="黑体" w:cs="黑体"/>
          <w:sz w:val="30"/>
          <w:szCs w:val="30"/>
        </w:rPr>
        <w:t>六、考核方式与评价细则</w:t>
      </w:r>
    </w:p>
    <w:bookmarkEnd w:id="8"/>
    <w:tbl>
      <w:tblPr>
        <w:tblStyle w:val="9"/>
        <w:tblW w:w="9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93"/>
        <w:gridCol w:w="7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spacing w:line="280" w:lineRule="exact"/>
              <w:jc w:val="center"/>
              <w:rPr>
                <w:rFonts w:ascii="宋体"/>
                <w:b/>
                <w:bCs/>
              </w:rPr>
            </w:pPr>
            <w:r>
              <w:rPr>
                <w:rFonts w:hint="eastAsia" w:ascii="宋体" w:hAnsi="宋体" w:cs="宋体"/>
                <w:b/>
                <w:bCs/>
              </w:rPr>
              <w:t>考核方式</w:t>
            </w:r>
          </w:p>
        </w:tc>
        <w:tc>
          <w:tcPr>
            <w:tcW w:w="793" w:type="dxa"/>
            <w:vAlign w:val="center"/>
          </w:tcPr>
          <w:p>
            <w:pPr>
              <w:spacing w:line="280" w:lineRule="exact"/>
              <w:jc w:val="center"/>
              <w:rPr>
                <w:rFonts w:ascii="宋体"/>
                <w:b/>
                <w:bCs/>
              </w:rPr>
            </w:pPr>
            <w:r>
              <w:rPr>
                <w:rFonts w:hint="eastAsia" w:ascii="宋体" w:hAnsi="宋体" w:cs="宋体"/>
                <w:b/>
                <w:bCs/>
              </w:rPr>
              <w:t>比例</w:t>
            </w:r>
          </w:p>
        </w:tc>
        <w:tc>
          <w:tcPr>
            <w:tcW w:w="7448" w:type="dxa"/>
            <w:vAlign w:val="center"/>
          </w:tcPr>
          <w:p>
            <w:pPr>
              <w:spacing w:line="280" w:lineRule="exact"/>
              <w:jc w:val="center"/>
              <w:rPr>
                <w:rFonts w:ascii="宋体"/>
                <w:b/>
                <w:bCs/>
              </w:rPr>
            </w:pPr>
            <w:r>
              <w:rPr>
                <w:rFonts w:hint="eastAsia" w:ascii="宋体" w:hAnsi="宋体" w:cs="宋体"/>
                <w:b/>
                <w:bCs/>
              </w:rPr>
              <w:t>考核</w:t>
            </w:r>
            <w:r>
              <w:rPr>
                <w:rFonts w:ascii="宋体" w:hAnsi="宋体" w:cs="宋体"/>
                <w:b/>
                <w:bCs/>
              </w:rPr>
              <w:t>/</w:t>
            </w:r>
            <w:r>
              <w:rPr>
                <w:rFonts w:hint="eastAsia" w:ascii="宋体" w:hAnsi="宋体" w:cs="宋体"/>
                <w:b/>
                <w:bCs/>
              </w:rPr>
              <w:t>评价细则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spacing w:line="280" w:lineRule="exact"/>
              <w:jc w:val="center"/>
              <w:rPr>
                <w:rFonts w:ascii="宋体"/>
                <w:color w:val="000000"/>
              </w:rPr>
            </w:pPr>
            <w:r>
              <w:rPr>
                <w:rFonts w:hint="eastAsia" w:ascii="宋体" w:cs="宋体"/>
                <w:color w:val="000000"/>
              </w:rPr>
              <w:t>课堂表现</w:t>
            </w:r>
          </w:p>
        </w:tc>
        <w:tc>
          <w:tcPr>
            <w:tcW w:w="793" w:type="dxa"/>
            <w:vAlign w:val="center"/>
          </w:tcPr>
          <w:p>
            <w:pPr>
              <w:spacing w:line="280" w:lineRule="exact"/>
              <w:jc w:val="center"/>
              <w:rPr>
                <w:rFonts w:ascii="宋体" w:cs="宋体"/>
                <w:color w:val="000000"/>
              </w:rPr>
            </w:pPr>
            <w:r>
              <w:rPr>
                <w:rFonts w:ascii="宋体" w:cs="宋体"/>
                <w:color w:val="000000"/>
              </w:rPr>
              <w:t>15%</w:t>
            </w:r>
          </w:p>
        </w:tc>
        <w:tc>
          <w:tcPr>
            <w:tcW w:w="7448" w:type="dxa"/>
            <w:vAlign w:val="center"/>
          </w:tcPr>
          <w:p>
            <w:pPr>
              <w:spacing w:line="280" w:lineRule="exact"/>
              <w:jc w:val="left"/>
              <w:rPr>
                <w:rFonts w:ascii="宋体"/>
                <w:color w:val="000000"/>
              </w:rPr>
            </w:pPr>
            <w:r>
              <w:rPr>
                <w:rFonts w:hint="eastAsia" w:ascii="宋体" w:hAnsi="宋体" w:cs="宋体"/>
                <w:color w:val="000000"/>
              </w:rPr>
              <w:t>考勤记录和课堂表现情况加分、扣分记录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spacing w:line="280" w:lineRule="exact"/>
              <w:jc w:val="center"/>
              <w:rPr>
                <w:rFonts w:ascii="宋体"/>
                <w:color w:val="000000"/>
              </w:rPr>
            </w:pPr>
            <w:r>
              <w:rPr>
                <w:rFonts w:hint="eastAsia" w:ascii="宋体" w:cs="宋体"/>
                <w:color w:val="000000"/>
              </w:rPr>
              <w:t>平时作业</w:t>
            </w:r>
          </w:p>
        </w:tc>
        <w:tc>
          <w:tcPr>
            <w:tcW w:w="793" w:type="dxa"/>
            <w:vAlign w:val="center"/>
          </w:tcPr>
          <w:p>
            <w:pPr>
              <w:spacing w:line="280" w:lineRule="exact"/>
              <w:jc w:val="center"/>
              <w:rPr>
                <w:rFonts w:ascii="宋体" w:cs="宋体"/>
                <w:color w:val="000000"/>
              </w:rPr>
            </w:pPr>
            <w:r>
              <w:rPr>
                <w:rFonts w:ascii="宋体" w:cs="宋体"/>
                <w:color w:val="000000"/>
              </w:rPr>
              <w:t>15%</w:t>
            </w:r>
          </w:p>
        </w:tc>
        <w:tc>
          <w:tcPr>
            <w:tcW w:w="7448" w:type="dxa"/>
            <w:vAlign w:val="center"/>
          </w:tcPr>
          <w:p>
            <w:pPr>
              <w:spacing w:line="280" w:lineRule="exact"/>
              <w:rPr>
                <w:rFonts w:ascii="宋体"/>
                <w:color w:val="000000"/>
              </w:rPr>
            </w:pPr>
            <w:r>
              <w:rPr>
                <w:rFonts w:hint="eastAsia" w:ascii="宋体" w:hAnsi="宋体" w:cs="宋体"/>
                <w:color w:val="000000"/>
              </w:rPr>
              <w:t>平时学生完成作业情况的记录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1271" w:type="dxa"/>
            <w:vAlign w:val="center"/>
          </w:tcPr>
          <w:p>
            <w:pPr>
              <w:spacing w:line="280" w:lineRule="exact"/>
              <w:jc w:val="center"/>
              <w:rPr>
                <w:rFonts w:ascii="宋体"/>
                <w:color w:val="000000"/>
              </w:rPr>
            </w:pPr>
            <w:r>
              <w:rPr>
                <w:rFonts w:hint="eastAsia" w:ascii="宋体" w:cs="宋体"/>
                <w:color w:val="000000"/>
              </w:rPr>
              <w:t>期末考试</w:t>
            </w:r>
          </w:p>
        </w:tc>
        <w:tc>
          <w:tcPr>
            <w:tcW w:w="793" w:type="dxa"/>
            <w:vAlign w:val="center"/>
          </w:tcPr>
          <w:p>
            <w:pPr>
              <w:spacing w:line="280" w:lineRule="exact"/>
              <w:jc w:val="center"/>
              <w:rPr>
                <w:rFonts w:ascii="宋体" w:cs="宋体"/>
                <w:color w:val="000000"/>
              </w:rPr>
            </w:pPr>
            <w:r>
              <w:rPr>
                <w:rFonts w:ascii="宋体" w:cs="宋体"/>
                <w:color w:val="000000"/>
              </w:rPr>
              <w:t>70%</w:t>
            </w:r>
          </w:p>
        </w:tc>
        <w:tc>
          <w:tcPr>
            <w:tcW w:w="7448" w:type="dxa"/>
            <w:vAlign w:val="center"/>
          </w:tcPr>
          <w:p>
            <w:pPr>
              <w:spacing w:line="280" w:lineRule="exact"/>
              <w:rPr>
                <w:rFonts w:ascii="宋体"/>
                <w:color w:val="000000"/>
              </w:rPr>
            </w:pPr>
            <w:r>
              <w:rPr>
                <w:rFonts w:hint="eastAsia" w:ascii="宋体" w:cs="宋体"/>
                <w:color w:val="000000"/>
              </w:rPr>
              <w:t>笔试。题型有选择题、判断题、简答题、计算题、论述题和案例分析题等，考核内容涵盖了所学的基本知识点，不仅考察学生对基本知识点的掌握情况，也考察学生对相关知识和理论的运用能力。</w:t>
            </w:r>
          </w:p>
        </w:tc>
      </w:tr>
      <w:bookmarkEnd w:id="5"/>
    </w:tbl>
    <w:p>
      <w:pPr>
        <w:jc w:val="left"/>
        <w:outlineLvl w:val="0"/>
        <w:rPr>
          <w:rFonts w:ascii="宋体"/>
        </w:rPr>
      </w:pPr>
    </w:p>
    <w:sectPr>
      <w:footerReference r:id="rId3" w:type="default"/>
      <w:pgSz w:w="11906" w:h="16838"/>
      <w:pgMar w:top="1304" w:right="1588" w:bottom="1304"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lang w:val="zh-CN"/>
      </w:rPr>
      <w:fldChar w:fldCharType="begin"/>
    </w:r>
    <w:r>
      <w:rPr>
        <w:lang w:val="zh-CN"/>
      </w:rPr>
      <w:instrText xml:space="preserve"> PAGE   \* MERGEFORMAT </w:instrText>
    </w:r>
    <w:r>
      <w:rPr>
        <w:lang w:val="zh-CN"/>
      </w:rPr>
      <w:fldChar w:fldCharType="separate"/>
    </w:r>
    <w:r>
      <w:rPr>
        <w:lang w:val="zh-CN"/>
      </w:rPr>
      <w:t>3</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48"/>
    <w:rsid w:val="00001456"/>
    <w:rsid w:val="00004D19"/>
    <w:rsid w:val="000153A4"/>
    <w:rsid w:val="000302D8"/>
    <w:rsid w:val="00036190"/>
    <w:rsid w:val="00037FB8"/>
    <w:rsid w:val="00052533"/>
    <w:rsid w:val="00054AC6"/>
    <w:rsid w:val="0006200A"/>
    <w:rsid w:val="00066398"/>
    <w:rsid w:val="000805F6"/>
    <w:rsid w:val="00080DE0"/>
    <w:rsid w:val="000813EB"/>
    <w:rsid w:val="000844C9"/>
    <w:rsid w:val="000847E8"/>
    <w:rsid w:val="000A7C4A"/>
    <w:rsid w:val="000B3F18"/>
    <w:rsid w:val="000B5C81"/>
    <w:rsid w:val="000B69B3"/>
    <w:rsid w:val="000C1E27"/>
    <w:rsid w:val="000C3BB2"/>
    <w:rsid w:val="000C7C3F"/>
    <w:rsid w:val="000D6848"/>
    <w:rsid w:val="000E1A51"/>
    <w:rsid w:val="000E2E2E"/>
    <w:rsid w:val="000E3C21"/>
    <w:rsid w:val="000E4260"/>
    <w:rsid w:val="000F0BDC"/>
    <w:rsid w:val="001004F3"/>
    <w:rsid w:val="00102476"/>
    <w:rsid w:val="00112BDB"/>
    <w:rsid w:val="00113B48"/>
    <w:rsid w:val="001221C1"/>
    <w:rsid w:val="00130CB5"/>
    <w:rsid w:val="00130E78"/>
    <w:rsid w:val="00134ACC"/>
    <w:rsid w:val="00134FF7"/>
    <w:rsid w:val="00140876"/>
    <w:rsid w:val="00146FC1"/>
    <w:rsid w:val="001471B4"/>
    <w:rsid w:val="0015295D"/>
    <w:rsid w:val="00153336"/>
    <w:rsid w:val="001558E4"/>
    <w:rsid w:val="00162F71"/>
    <w:rsid w:val="00164873"/>
    <w:rsid w:val="00166174"/>
    <w:rsid w:val="00172D13"/>
    <w:rsid w:val="001739B1"/>
    <w:rsid w:val="0018031E"/>
    <w:rsid w:val="00180D73"/>
    <w:rsid w:val="00190C68"/>
    <w:rsid w:val="001934C4"/>
    <w:rsid w:val="00193671"/>
    <w:rsid w:val="0019649E"/>
    <w:rsid w:val="00196591"/>
    <w:rsid w:val="001A61F6"/>
    <w:rsid w:val="001A720E"/>
    <w:rsid w:val="001B425E"/>
    <w:rsid w:val="001B6526"/>
    <w:rsid w:val="001C36EF"/>
    <w:rsid w:val="001C46E2"/>
    <w:rsid w:val="001C6A8F"/>
    <w:rsid w:val="001D043B"/>
    <w:rsid w:val="001D69AC"/>
    <w:rsid w:val="001E01FE"/>
    <w:rsid w:val="001E3796"/>
    <w:rsid w:val="001E397E"/>
    <w:rsid w:val="001F3C36"/>
    <w:rsid w:val="00200355"/>
    <w:rsid w:val="00200CA7"/>
    <w:rsid w:val="00202BE2"/>
    <w:rsid w:val="00210A57"/>
    <w:rsid w:val="00216BF0"/>
    <w:rsid w:val="002203A5"/>
    <w:rsid w:val="002246D5"/>
    <w:rsid w:val="002328FC"/>
    <w:rsid w:val="00243EBA"/>
    <w:rsid w:val="00244104"/>
    <w:rsid w:val="00247319"/>
    <w:rsid w:val="0025194F"/>
    <w:rsid w:val="002544C8"/>
    <w:rsid w:val="00260139"/>
    <w:rsid w:val="00272BE0"/>
    <w:rsid w:val="0027404A"/>
    <w:rsid w:val="00282095"/>
    <w:rsid w:val="00287C7B"/>
    <w:rsid w:val="00291B70"/>
    <w:rsid w:val="002A4CB8"/>
    <w:rsid w:val="002A717D"/>
    <w:rsid w:val="002B0E5E"/>
    <w:rsid w:val="002B4030"/>
    <w:rsid w:val="002B4EF7"/>
    <w:rsid w:val="002B5DCE"/>
    <w:rsid w:val="002B5E26"/>
    <w:rsid w:val="002C3329"/>
    <w:rsid w:val="002D233C"/>
    <w:rsid w:val="002D3E2A"/>
    <w:rsid w:val="002D542F"/>
    <w:rsid w:val="002E0522"/>
    <w:rsid w:val="002E51ED"/>
    <w:rsid w:val="002E5C76"/>
    <w:rsid w:val="002F10F6"/>
    <w:rsid w:val="002F184E"/>
    <w:rsid w:val="002F1A39"/>
    <w:rsid w:val="002F685A"/>
    <w:rsid w:val="002F6E25"/>
    <w:rsid w:val="003008DF"/>
    <w:rsid w:val="003049D9"/>
    <w:rsid w:val="00304E92"/>
    <w:rsid w:val="003126DF"/>
    <w:rsid w:val="00312B8C"/>
    <w:rsid w:val="0031487B"/>
    <w:rsid w:val="00314F2B"/>
    <w:rsid w:val="00317EFB"/>
    <w:rsid w:val="00322CCB"/>
    <w:rsid w:val="00323D55"/>
    <w:rsid w:val="0033025B"/>
    <w:rsid w:val="00331752"/>
    <w:rsid w:val="00332101"/>
    <w:rsid w:val="003322A3"/>
    <w:rsid w:val="00334505"/>
    <w:rsid w:val="003345C8"/>
    <w:rsid w:val="00334EA5"/>
    <w:rsid w:val="00335CFD"/>
    <w:rsid w:val="00345234"/>
    <w:rsid w:val="003461AE"/>
    <w:rsid w:val="00347308"/>
    <w:rsid w:val="00350553"/>
    <w:rsid w:val="00350C26"/>
    <w:rsid w:val="003512F0"/>
    <w:rsid w:val="003550F4"/>
    <w:rsid w:val="00356C0D"/>
    <w:rsid w:val="003621BC"/>
    <w:rsid w:val="00366C9F"/>
    <w:rsid w:val="00366F6F"/>
    <w:rsid w:val="003719ED"/>
    <w:rsid w:val="00371B6C"/>
    <w:rsid w:val="00383C2C"/>
    <w:rsid w:val="00383CE9"/>
    <w:rsid w:val="003A0050"/>
    <w:rsid w:val="003A3F26"/>
    <w:rsid w:val="003A48E9"/>
    <w:rsid w:val="003B0F71"/>
    <w:rsid w:val="003B57BC"/>
    <w:rsid w:val="003B6208"/>
    <w:rsid w:val="003C3248"/>
    <w:rsid w:val="003C4383"/>
    <w:rsid w:val="003C4AF6"/>
    <w:rsid w:val="003C6687"/>
    <w:rsid w:val="003C7C56"/>
    <w:rsid w:val="003D5EE4"/>
    <w:rsid w:val="003D6673"/>
    <w:rsid w:val="003E0CAC"/>
    <w:rsid w:val="003E136A"/>
    <w:rsid w:val="003E51EF"/>
    <w:rsid w:val="003E6EC8"/>
    <w:rsid w:val="003F371A"/>
    <w:rsid w:val="003F49F0"/>
    <w:rsid w:val="003F4F07"/>
    <w:rsid w:val="003F4F79"/>
    <w:rsid w:val="003F67C5"/>
    <w:rsid w:val="004028AA"/>
    <w:rsid w:val="004068E4"/>
    <w:rsid w:val="00415BF1"/>
    <w:rsid w:val="00423702"/>
    <w:rsid w:val="00424777"/>
    <w:rsid w:val="00433FCF"/>
    <w:rsid w:val="00441124"/>
    <w:rsid w:val="00444EC4"/>
    <w:rsid w:val="0045152A"/>
    <w:rsid w:val="00455D27"/>
    <w:rsid w:val="00455E63"/>
    <w:rsid w:val="00456D43"/>
    <w:rsid w:val="00465A76"/>
    <w:rsid w:val="004665B9"/>
    <w:rsid w:val="004702F9"/>
    <w:rsid w:val="00471D9A"/>
    <w:rsid w:val="00477266"/>
    <w:rsid w:val="00477D59"/>
    <w:rsid w:val="004917CE"/>
    <w:rsid w:val="00495177"/>
    <w:rsid w:val="004A4A92"/>
    <w:rsid w:val="004A610F"/>
    <w:rsid w:val="004B47A0"/>
    <w:rsid w:val="004B4CD6"/>
    <w:rsid w:val="004B51BD"/>
    <w:rsid w:val="004B7B5C"/>
    <w:rsid w:val="004C0DC6"/>
    <w:rsid w:val="004C23BB"/>
    <w:rsid w:val="004E0070"/>
    <w:rsid w:val="004E1E50"/>
    <w:rsid w:val="004E31F6"/>
    <w:rsid w:val="004E76AC"/>
    <w:rsid w:val="004E7D33"/>
    <w:rsid w:val="004F08CD"/>
    <w:rsid w:val="004F11D1"/>
    <w:rsid w:val="004F2715"/>
    <w:rsid w:val="004F33DA"/>
    <w:rsid w:val="0050422A"/>
    <w:rsid w:val="00513356"/>
    <w:rsid w:val="00513FC6"/>
    <w:rsid w:val="00522980"/>
    <w:rsid w:val="00524163"/>
    <w:rsid w:val="00524A01"/>
    <w:rsid w:val="005324A1"/>
    <w:rsid w:val="00536074"/>
    <w:rsid w:val="00547A9A"/>
    <w:rsid w:val="0055173F"/>
    <w:rsid w:val="00560B9E"/>
    <w:rsid w:val="00564464"/>
    <w:rsid w:val="00565E2A"/>
    <w:rsid w:val="005774C6"/>
    <w:rsid w:val="00580B0E"/>
    <w:rsid w:val="005A0610"/>
    <w:rsid w:val="005B0077"/>
    <w:rsid w:val="005B4A15"/>
    <w:rsid w:val="005B6285"/>
    <w:rsid w:val="005B62AE"/>
    <w:rsid w:val="005C0683"/>
    <w:rsid w:val="005C31AB"/>
    <w:rsid w:val="005C79F8"/>
    <w:rsid w:val="005D0D1A"/>
    <w:rsid w:val="005D100F"/>
    <w:rsid w:val="005D5315"/>
    <w:rsid w:val="005D70EB"/>
    <w:rsid w:val="005E1972"/>
    <w:rsid w:val="005E3BC3"/>
    <w:rsid w:val="005F22B1"/>
    <w:rsid w:val="005F5AA2"/>
    <w:rsid w:val="005F6A49"/>
    <w:rsid w:val="00601D66"/>
    <w:rsid w:val="00601F08"/>
    <w:rsid w:val="006047AE"/>
    <w:rsid w:val="00604A29"/>
    <w:rsid w:val="00612B48"/>
    <w:rsid w:val="0062071A"/>
    <w:rsid w:val="00624A41"/>
    <w:rsid w:val="0062581F"/>
    <w:rsid w:val="00627BF6"/>
    <w:rsid w:val="0063441A"/>
    <w:rsid w:val="00636675"/>
    <w:rsid w:val="006556D3"/>
    <w:rsid w:val="00660D36"/>
    <w:rsid w:val="006625D0"/>
    <w:rsid w:val="006635BE"/>
    <w:rsid w:val="00663F9C"/>
    <w:rsid w:val="00665F24"/>
    <w:rsid w:val="00670894"/>
    <w:rsid w:val="00676F4C"/>
    <w:rsid w:val="0067768F"/>
    <w:rsid w:val="006832BA"/>
    <w:rsid w:val="00684271"/>
    <w:rsid w:val="00690374"/>
    <w:rsid w:val="006917A8"/>
    <w:rsid w:val="006917E0"/>
    <w:rsid w:val="006942B7"/>
    <w:rsid w:val="006A496B"/>
    <w:rsid w:val="006B0650"/>
    <w:rsid w:val="006C064B"/>
    <w:rsid w:val="006C30F5"/>
    <w:rsid w:val="006C364C"/>
    <w:rsid w:val="006C558D"/>
    <w:rsid w:val="006D520B"/>
    <w:rsid w:val="006F1056"/>
    <w:rsid w:val="006F240A"/>
    <w:rsid w:val="006F317D"/>
    <w:rsid w:val="007013F0"/>
    <w:rsid w:val="00701A5A"/>
    <w:rsid w:val="007031F7"/>
    <w:rsid w:val="00707982"/>
    <w:rsid w:val="00715BF0"/>
    <w:rsid w:val="0072096E"/>
    <w:rsid w:val="00735181"/>
    <w:rsid w:val="00741A8D"/>
    <w:rsid w:val="0074429C"/>
    <w:rsid w:val="00751139"/>
    <w:rsid w:val="00753865"/>
    <w:rsid w:val="0076037F"/>
    <w:rsid w:val="007664AD"/>
    <w:rsid w:val="00767F11"/>
    <w:rsid w:val="00771A97"/>
    <w:rsid w:val="00773C4C"/>
    <w:rsid w:val="0077482C"/>
    <w:rsid w:val="0079077C"/>
    <w:rsid w:val="00792141"/>
    <w:rsid w:val="0079342B"/>
    <w:rsid w:val="007A1602"/>
    <w:rsid w:val="007A1CF2"/>
    <w:rsid w:val="007A486F"/>
    <w:rsid w:val="007A7157"/>
    <w:rsid w:val="007B1A1C"/>
    <w:rsid w:val="007B210B"/>
    <w:rsid w:val="007B34C8"/>
    <w:rsid w:val="007B60A0"/>
    <w:rsid w:val="007B6373"/>
    <w:rsid w:val="007C3D95"/>
    <w:rsid w:val="007D158B"/>
    <w:rsid w:val="007D4FB9"/>
    <w:rsid w:val="007D7667"/>
    <w:rsid w:val="007E1E48"/>
    <w:rsid w:val="007F238B"/>
    <w:rsid w:val="00802046"/>
    <w:rsid w:val="008023F8"/>
    <w:rsid w:val="0080283E"/>
    <w:rsid w:val="00806134"/>
    <w:rsid w:val="008111D4"/>
    <w:rsid w:val="00813B5D"/>
    <w:rsid w:val="00816C43"/>
    <w:rsid w:val="00817571"/>
    <w:rsid w:val="008208FB"/>
    <w:rsid w:val="00821410"/>
    <w:rsid w:val="008218F7"/>
    <w:rsid w:val="00832CE9"/>
    <w:rsid w:val="0083428E"/>
    <w:rsid w:val="008361E1"/>
    <w:rsid w:val="00837FD5"/>
    <w:rsid w:val="00841115"/>
    <w:rsid w:val="008550DA"/>
    <w:rsid w:val="00857496"/>
    <w:rsid w:val="00857D8D"/>
    <w:rsid w:val="008620ED"/>
    <w:rsid w:val="00862D20"/>
    <w:rsid w:val="008659D8"/>
    <w:rsid w:val="008700AF"/>
    <w:rsid w:val="00870DED"/>
    <w:rsid w:val="008765CE"/>
    <w:rsid w:val="00883FCF"/>
    <w:rsid w:val="00885B29"/>
    <w:rsid w:val="00890594"/>
    <w:rsid w:val="008973A8"/>
    <w:rsid w:val="008A1D24"/>
    <w:rsid w:val="008A5DE0"/>
    <w:rsid w:val="008B68A5"/>
    <w:rsid w:val="008C2640"/>
    <w:rsid w:val="008C54FB"/>
    <w:rsid w:val="008E11F5"/>
    <w:rsid w:val="008E19A9"/>
    <w:rsid w:val="008E4BFB"/>
    <w:rsid w:val="008F3AF5"/>
    <w:rsid w:val="008F6642"/>
    <w:rsid w:val="008F7C27"/>
    <w:rsid w:val="009011F7"/>
    <w:rsid w:val="0090431C"/>
    <w:rsid w:val="0091061D"/>
    <w:rsid w:val="0091063A"/>
    <w:rsid w:val="009108C5"/>
    <w:rsid w:val="00914D31"/>
    <w:rsid w:val="009220E2"/>
    <w:rsid w:val="00925699"/>
    <w:rsid w:val="00927BB4"/>
    <w:rsid w:val="00931238"/>
    <w:rsid w:val="009340C2"/>
    <w:rsid w:val="00945BD6"/>
    <w:rsid w:val="009521D5"/>
    <w:rsid w:val="00957CE0"/>
    <w:rsid w:val="00976520"/>
    <w:rsid w:val="009904EF"/>
    <w:rsid w:val="00994555"/>
    <w:rsid w:val="009A0368"/>
    <w:rsid w:val="009A1AF5"/>
    <w:rsid w:val="009A682C"/>
    <w:rsid w:val="009A70A4"/>
    <w:rsid w:val="009A793F"/>
    <w:rsid w:val="009C0BD0"/>
    <w:rsid w:val="009C1258"/>
    <w:rsid w:val="009C32F4"/>
    <w:rsid w:val="009C6B5E"/>
    <w:rsid w:val="009D199A"/>
    <w:rsid w:val="009D3AEA"/>
    <w:rsid w:val="009D7F33"/>
    <w:rsid w:val="009D7FDF"/>
    <w:rsid w:val="009E0606"/>
    <w:rsid w:val="009E2314"/>
    <w:rsid w:val="009E2AB9"/>
    <w:rsid w:val="009E5D44"/>
    <w:rsid w:val="009E5DC8"/>
    <w:rsid w:val="009E6A67"/>
    <w:rsid w:val="009F465F"/>
    <w:rsid w:val="00A0054F"/>
    <w:rsid w:val="00A009D8"/>
    <w:rsid w:val="00A01839"/>
    <w:rsid w:val="00A0451E"/>
    <w:rsid w:val="00A14474"/>
    <w:rsid w:val="00A15056"/>
    <w:rsid w:val="00A1657C"/>
    <w:rsid w:val="00A21A5D"/>
    <w:rsid w:val="00A23D49"/>
    <w:rsid w:val="00A25F59"/>
    <w:rsid w:val="00A33642"/>
    <w:rsid w:val="00A35C1B"/>
    <w:rsid w:val="00A37E73"/>
    <w:rsid w:val="00A41551"/>
    <w:rsid w:val="00A467F6"/>
    <w:rsid w:val="00A546A2"/>
    <w:rsid w:val="00A63A90"/>
    <w:rsid w:val="00A701B0"/>
    <w:rsid w:val="00A706BA"/>
    <w:rsid w:val="00A74A6C"/>
    <w:rsid w:val="00A8272E"/>
    <w:rsid w:val="00A85842"/>
    <w:rsid w:val="00A860F0"/>
    <w:rsid w:val="00A86674"/>
    <w:rsid w:val="00A86CCD"/>
    <w:rsid w:val="00A910BF"/>
    <w:rsid w:val="00A92254"/>
    <w:rsid w:val="00A9778E"/>
    <w:rsid w:val="00AA58B9"/>
    <w:rsid w:val="00AA6316"/>
    <w:rsid w:val="00AB706A"/>
    <w:rsid w:val="00AB7E03"/>
    <w:rsid w:val="00AC16CB"/>
    <w:rsid w:val="00AD1F42"/>
    <w:rsid w:val="00AD78AE"/>
    <w:rsid w:val="00AE3638"/>
    <w:rsid w:val="00AF2A6F"/>
    <w:rsid w:val="00AF3FF3"/>
    <w:rsid w:val="00AF7863"/>
    <w:rsid w:val="00B029D2"/>
    <w:rsid w:val="00B045CE"/>
    <w:rsid w:val="00B045ED"/>
    <w:rsid w:val="00B04E7B"/>
    <w:rsid w:val="00B1086A"/>
    <w:rsid w:val="00B118F1"/>
    <w:rsid w:val="00B13AA3"/>
    <w:rsid w:val="00B162A0"/>
    <w:rsid w:val="00B17FD0"/>
    <w:rsid w:val="00B25F7B"/>
    <w:rsid w:val="00B3212D"/>
    <w:rsid w:val="00B34F73"/>
    <w:rsid w:val="00B4006A"/>
    <w:rsid w:val="00B40D78"/>
    <w:rsid w:val="00B42D3E"/>
    <w:rsid w:val="00B46041"/>
    <w:rsid w:val="00B475F8"/>
    <w:rsid w:val="00B503F0"/>
    <w:rsid w:val="00B62033"/>
    <w:rsid w:val="00B62B6B"/>
    <w:rsid w:val="00B64980"/>
    <w:rsid w:val="00B6666B"/>
    <w:rsid w:val="00B75A41"/>
    <w:rsid w:val="00B76C04"/>
    <w:rsid w:val="00B827BB"/>
    <w:rsid w:val="00B97F1B"/>
    <w:rsid w:val="00BA07C1"/>
    <w:rsid w:val="00BA4C4E"/>
    <w:rsid w:val="00BC1D69"/>
    <w:rsid w:val="00BC57E7"/>
    <w:rsid w:val="00BC723F"/>
    <w:rsid w:val="00BC78C7"/>
    <w:rsid w:val="00BD396C"/>
    <w:rsid w:val="00BD55E3"/>
    <w:rsid w:val="00BE7E88"/>
    <w:rsid w:val="00BF02F7"/>
    <w:rsid w:val="00BF03AB"/>
    <w:rsid w:val="00C13C9F"/>
    <w:rsid w:val="00C22109"/>
    <w:rsid w:val="00C2216C"/>
    <w:rsid w:val="00C23086"/>
    <w:rsid w:val="00C249CD"/>
    <w:rsid w:val="00C33035"/>
    <w:rsid w:val="00C341A0"/>
    <w:rsid w:val="00C4055A"/>
    <w:rsid w:val="00C42394"/>
    <w:rsid w:val="00C43ECF"/>
    <w:rsid w:val="00C4638F"/>
    <w:rsid w:val="00C46E72"/>
    <w:rsid w:val="00C52152"/>
    <w:rsid w:val="00C57FCD"/>
    <w:rsid w:val="00C633EF"/>
    <w:rsid w:val="00C67728"/>
    <w:rsid w:val="00C67E6F"/>
    <w:rsid w:val="00C71C8F"/>
    <w:rsid w:val="00C77D70"/>
    <w:rsid w:val="00C819F1"/>
    <w:rsid w:val="00CA4436"/>
    <w:rsid w:val="00CA4DE4"/>
    <w:rsid w:val="00CA4EC3"/>
    <w:rsid w:val="00CA5CEC"/>
    <w:rsid w:val="00CA6A92"/>
    <w:rsid w:val="00CB35E6"/>
    <w:rsid w:val="00CB3F29"/>
    <w:rsid w:val="00CC040C"/>
    <w:rsid w:val="00CC173A"/>
    <w:rsid w:val="00CD462C"/>
    <w:rsid w:val="00CD5844"/>
    <w:rsid w:val="00CD6D95"/>
    <w:rsid w:val="00CE0D7C"/>
    <w:rsid w:val="00CE3A7D"/>
    <w:rsid w:val="00CE49ED"/>
    <w:rsid w:val="00CE766E"/>
    <w:rsid w:val="00CE7FE0"/>
    <w:rsid w:val="00CF12D2"/>
    <w:rsid w:val="00CF2C93"/>
    <w:rsid w:val="00CF4C8A"/>
    <w:rsid w:val="00D07D36"/>
    <w:rsid w:val="00D10761"/>
    <w:rsid w:val="00D21823"/>
    <w:rsid w:val="00D237E4"/>
    <w:rsid w:val="00D2653D"/>
    <w:rsid w:val="00D269E3"/>
    <w:rsid w:val="00D272D0"/>
    <w:rsid w:val="00D33636"/>
    <w:rsid w:val="00D34BCC"/>
    <w:rsid w:val="00D350BA"/>
    <w:rsid w:val="00D35ACC"/>
    <w:rsid w:val="00D45D00"/>
    <w:rsid w:val="00D71417"/>
    <w:rsid w:val="00D72D32"/>
    <w:rsid w:val="00D74135"/>
    <w:rsid w:val="00D75B43"/>
    <w:rsid w:val="00D81DFB"/>
    <w:rsid w:val="00D82085"/>
    <w:rsid w:val="00DA2EDD"/>
    <w:rsid w:val="00DA4D05"/>
    <w:rsid w:val="00DA53B6"/>
    <w:rsid w:val="00DB0CC1"/>
    <w:rsid w:val="00DB3370"/>
    <w:rsid w:val="00DB3E2A"/>
    <w:rsid w:val="00DC0C90"/>
    <w:rsid w:val="00DC230F"/>
    <w:rsid w:val="00DC5D57"/>
    <w:rsid w:val="00DC7046"/>
    <w:rsid w:val="00DD2F37"/>
    <w:rsid w:val="00DD50F6"/>
    <w:rsid w:val="00DF401D"/>
    <w:rsid w:val="00E01950"/>
    <w:rsid w:val="00E07880"/>
    <w:rsid w:val="00E16E39"/>
    <w:rsid w:val="00E17521"/>
    <w:rsid w:val="00E178ED"/>
    <w:rsid w:val="00E23E19"/>
    <w:rsid w:val="00E34D5C"/>
    <w:rsid w:val="00E40F3F"/>
    <w:rsid w:val="00E4132C"/>
    <w:rsid w:val="00E43604"/>
    <w:rsid w:val="00E46C00"/>
    <w:rsid w:val="00E50C88"/>
    <w:rsid w:val="00E52200"/>
    <w:rsid w:val="00E52340"/>
    <w:rsid w:val="00E61FC2"/>
    <w:rsid w:val="00E6239F"/>
    <w:rsid w:val="00E65070"/>
    <w:rsid w:val="00E72781"/>
    <w:rsid w:val="00E76041"/>
    <w:rsid w:val="00E8545A"/>
    <w:rsid w:val="00E87965"/>
    <w:rsid w:val="00E92610"/>
    <w:rsid w:val="00E946BA"/>
    <w:rsid w:val="00EA2622"/>
    <w:rsid w:val="00EA79D8"/>
    <w:rsid w:val="00EB25EE"/>
    <w:rsid w:val="00ED111A"/>
    <w:rsid w:val="00ED3673"/>
    <w:rsid w:val="00EE1B4B"/>
    <w:rsid w:val="00EE1B82"/>
    <w:rsid w:val="00EE21E2"/>
    <w:rsid w:val="00EE2904"/>
    <w:rsid w:val="00EF1E9D"/>
    <w:rsid w:val="00EF2C58"/>
    <w:rsid w:val="00EF4E29"/>
    <w:rsid w:val="00EF724C"/>
    <w:rsid w:val="00F0196D"/>
    <w:rsid w:val="00F03678"/>
    <w:rsid w:val="00F17D67"/>
    <w:rsid w:val="00F30B6D"/>
    <w:rsid w:val="00F4600B"/>
    <w:rsid w:val="00F479B7"/>
    <w:rsid w:val="00F47DF4"/>
    <w:rsid w:val="00F54B7E"/>
    <w:rsid w:val="00F617B5"/>
    <w:rsid w:val="00F66382"/>
    <w:rsid w:val="00F74DD0"/>
    <w:rsid w:val="00F82ABC"/>
    <w:rsid w:val="00F87E3D"/>
    <w:rsid w:val="00F92FC1"/>
    <w:rsid w:val="00F93557"/>
    <w:rsid w:val="00F96800"/>
    <w:rsid w:val="00FA0893"/>
    <w:rsid w:val="00FA4E40"/>
    <w:rsid w:val="00FB1DE7"/>
    <w:rsid w:val="00FB2123"/>
    <w:rsid w:val="00FB260C"/>
    <w:rsid w:val="00FB7474"/>
    <w:rsid w:val="00FC0EB0"/>
    <w:rsid w:val="00FC6D9D"/>
    <w:rsid w:val="00FD2F70"/>
    <w:rsid w:val="00FD453B"/>
    <w:rsid w:val="00FD509B"/>
    <w:rsid w:val="00FD64BD"/>
    <w:rsid w:val="00FD79FC"/>
    <w:rsid w:val="00FE1E55"/>
    <w:rsid w:val="00FE391F"/>
    <w:rsid w:val="00FE7D19"/>
    <w:rsid w:val="00FF0257"/>
    <w:rsid w:val="00FF5B65"/>
    <w:rsid w:val="03CB63B2"/>
    <w:rsid w:val="08DA42B5"/>
    <w:rsid w:val="0CA61708"/>
    <w:rsid w:val="0CD25CFA"/>
    <w:rsid w:val="1B055B70"/>
    <w:rsid w:val="1CA60E9B"/>
    <w:rsid w:val="244633F5"/>
    <w:rsid w:val="273577E0"/>
    <w:rsid w:val="279058E4"/>
    <w:rsid w:val="34955FF4"/>
    <w:rsid w:val="36E65120"/>
    <w:rsid w:val="39374934"/>
    <w:rsid w:val="3A392A6C"/>
    <w:rsid w:val="3D4C435C"/>
    <w:rsid w:val="434559FE"/>
    <w:rsid w:val="453945A6"/>
    <w:rsid w:val="4A3B3314"/>
    <w:rsid w:val="528B2B89"/>
    <w:rsid w:val="53421C5C"/>
    <w:rsid w:val="578E267B"/>
    <w:rsid w:val="59266982"/>
    <w:rsid w:val="5AA1013B"/>
    <w:rsid w:val="5CDE1311"/>
    <w:rsid w:val="5CE75295"/>
    <w:rsid w:val="684C0712"/>
    <w:rsid w:val="6AEA1BDE"/>
    <w:rsid w:val="6B2A698F"/>
    <w:rsid w:val="6BBA6B63"/>
    <w:rsid w:val="6F7E1311"/>
    <w:rsid w:val="788D6F4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20"/>
    <w:semiHidden/>
    <w:qFormat/>
    <w:uiPriority w:val="99"/>
    <w:rPr>
      <w:rFonts w:ascii="宋体" w:cs="宋体"/>
      <w:sz w:val="18"/>
      <w:szCs w:val="18"/>
    </w:rPr>
  </w:style>
  <w:style w:type="paragraph" w:styleId="3">
    <w:name w:val="annotation text"/>
    <w:basedOn w:val="1"/>
    <w:link w:val="17"/>
    <w:semiHidden/>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uiPriority w:val="99"/>
  </w:style>
  <w:style w:type="paragraph" w:styleId="8">
    <w:name w:val="annotation subject"/>
    <w:basedOn w:val="3"/>
    <w:next w:val="3"/>
    <w:link w:val="18"/>
    <w:semiHidden/>
    <w:qFormat/>
    <w:uiPriority w:val="99"/>
    <w:rPr>
      <w:b/>
      <w:bCs/>
    </w:rPr>
  </w:style>
  <w:style w:type="table" w:styleId="10">
    <w:name w:val="Table Grid"/>
    <w:basedOn w:val="9"/>
    <w:qFormat/>
    <w:uiPriority w:val="99"/>
    <w:rPr>
      <w:rFonts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Hyperlink"/>
    <w:qFormat/>
    <w:uiPriority w:val="99"/>
    <w:rPr>
      <w:color w:val="0000FF"/>
      <w:u w:val="single"/>
    </w:rPr>
  </w:style>
  <w:style w:type="character" w:styleId="13">
    <w:name w:val="annotation reference"/>
    <w:semiHidden/>
    <w:qFormat/>
    <w:uiPriority w:val="99"/>
    <w:rPr>
      <w:sz w:val="21"/>
      <w:szCs w:val="21"/>
    </w:rPr>
  </w:style>
  <w:style w:type="character" w:customStyle="1" w:styleId="14">
    <w:name w:val="页眉 Char"/>
    <w:link w:val="6"/>
    <w:qFormat/>
    <w:locked/>
    <w:uiPriority w:val="99"/>
    <w:rPr>
      <w:sz w:val="18"/>
      <w:szCs w:val="18"/>
    </w:rPr>
  </w:style>
  <w:style w:type="character" w:customStyle="1" w:styleId="15">
    <w:name w:val="页脚 Char"/>
    <w:link w:val="5"/>
    <w:locked/>
    <w:uiPriority w:val="99"/>
    <w:rPr>
      <w:sz w:val="18"/>
      <w:szCs w:val="18"/>
    </w:rPr>
  </w:style>
  <w:style w:type="character" w:customStyle="1" w:styleId="16">
    <w:name w:val="批注框文本 Char"/>
    <w:link w:val="4"/>
    <w:semiHidden/>
    <w:qFormat/>
    <w:locked/>
    <w:uiPriority w:val="99"/>
    <w:rPr>
      <w:sz w:val="18"/>
      <w:szCs w:val="18"/>
    </w:rPr>
  </w:style>
  <w:style w:type="character" w:customStyle="1" w:styleId="17">
    <w:name w:val="批注文字 Char"/>
    <w:basedOn w:val="11"/>
    <w:link w:val="3"/>
    <w:semiHidden/>
    <w:qFormat/>
    <w:locked/>
    <w:uiPriority w:val="99"/>
  </w:style>
  <w:style w:type="character" w:customStyle="1" w:styleId="18">
    <w:name w:val="批注主题 Char"/>
    <w:link w:val="8"/>
    <w:semiHidden/>
    <w:qFormat/>
    <w:locked/>
    <w:uiPriority w:val="99"/>
    <w:rPr>
      <w:b/>
      <w:bCs/>
    </w:rPr>
  </w:style>
  <w:style w:type="paragraph" w:styleId="19">
    <w:name w:val="List Paragraph"/>
    <w:basedOn w:val="1"/>
    <w:qFormat/>
    <w:uiPriority w:val="99"/>
    <w:pPr>
      <w:ind w:firstLine="420" w:firstLineChars="200"/>
    </w:pPr>
  </w:style>
  <w:style w:type="character" w:customStyle="1" w:styleId="20">
    <w:name w:val="文档结构图 Char"/>
    <w:link w:val="2"/>
    <w:semiHidden/>
    <w:qFormat/>
    <w:locked/>
    <w:uiPriority w:val="99"/>
    <w:rPr>
      <w:rFonts w:ascii="宋体" w:eastAsia="宋体" w:cs="宋体"/>
      <w:sz w:val="18"/>
      <w:szCs w:val="18"/>
    </w:rPr>
  </w:style>
  <w:style w:type="paragraph" w:customStyle="1" w:styleId="21">
    <w:name w:val="样式2"/>
    <w:basedOn w:val="1"/>
    <w:qFormat/>
    <w:uiPriority w:val="99"/>
    <w:pPr>
      <w:spacing w:line="400" w:lineRule="exact"/>
      <w:ind w:firstLine="480" w:firstLineChars="200"/>
    </w:pPr>
    <w:rPr>
      <w:rFonts w:ascii="宋体" w:hAnsi="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704</Words>
  <Characters>4015</Characters>
  <Lines>33</Lines>
  <Paragraphs>9</Paragraphs>
  <TotalTime>0</TotalTime>
  <ScaleCrop>false</ScaleCrop>
  <LinksUpToDate>false</LinksUpToDate>
  <CharactersWithSpaces>4710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2019-06-19T13:25:00Z</dcterms:created>
  <dc:creator>User</dc:creator>
  <cp:lastModifiedBy>Administrator</cp:lastModifiedBy>
  <cp:lastPrinted>2019-03-21T12:39:00Z</cp:lastPrinted>
  <dcterms:modified xsi:type="dcterms:W3CDTF">2019-11-01T01:43:00Z</dcterms:modified>
  <dc:title>   </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y fmtid="{D5CDD505-2E9C-101B-9397-08002B2CF9AE}" pid="3" name="KSORubyTemplateID" linkTarget="0">
    <vt:lpwstr>6</vt:lpwstr>
  </property>
</Properties>
</file>