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0" t="0" r="0" b="0"/>
                <wp:wrapNone/>
                <wp:docPr id="1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  <w:lang w:val="en-US" w:eastAsia="zh-CN"/>
                              </w:rPr>
                              <w:t>电子商务</w:t>
                            </w: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  <w:lang w:val="en-US" w:eastAsia="zh-CN"/>
                        </w:rPr>
                        <w:t>电子商务</w:t>
                      </w: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0" b="0"/>
                <wp:wrapNone/>
                <wp:docPr id="3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陈耀庭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巫月娥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陈耀庭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巫月娥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2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开课部门：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商学院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2019年6月15日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                  </w:t>
                            </w:r>
                          </w:p>
                          <w:p/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开课部门：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商学院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2019年6月15日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电子商务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Electronic Commerce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18215050200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陈耀庭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陈耀庭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管理学、微观经济学、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"https://book.jd.com/writer/%E8%A6%83%E5%BE%81_1.html" \t "https://item.jd.com/_blank" </w:instrText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覃征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 等 著</w:t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。电子商务概论（第5版）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"https://book.jd.com/publish/%E9%AB%98%E7%AD%89%E6%95%99%E8%82%B2%E5%87%BA%E7%89%88%E7%A4%BE_1.html" \o "高等教育出版社" \t "https://item.jd.com/_blank" </w:instrText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高等教育出版社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1.郑丽.电子商务概论（第2版）.北京：</w:t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"https://item.jd.com/40255255072.html" \o "正版 电子商务概论（第2版） 郑丽 北京交通大学出版社 9787512137264" \t "https://search.jd.com/_blank" </w:instrText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交通大学出版社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.2017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2.白东蕊，岳云康 著 电子商务概论（第4版）.北京: 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instrText xml:space="preserve"> HYPERLINK "https://book.jd.com/publish/%E4%BA%BA%E6%B0%91%E9%82%AE%E7%94%B5%E5%87%BA%E7%89%88%E7%A4%BE_1.html" \o "人民邮电出版社" \t "https://item.jd.com/_blank" </w:instrTex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人民邮电出版社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"https://book.jd.com/writer/%E8%A6%83%E5%BE%81_1.html" \t "https://item.jd.com/_blank"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覃征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 等 著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。电子商务概论（第5版）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instrText xml:space="preserve"> HYPERLINK "https://book.jd.com/publish/%E9%AB%98%E7%AD%89%E6%95%99%E8%82%B2%E5%87%BA%E7%89%88%E7%A4%BE_1.html" \o "高等教育出版社" \t "https://item.jd.com/_blank" </w:instrTex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高等教育出版社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left="210" w:leftChars="100" w:firstLine="420" w:firstLineChars="200"/>
        <w:jc w:val="both"/>
        <w:textAlignment w:val="auto"/>
        <w:rPr>
          <w:rFonts w:hint="eastAsia" w:asciiTheme="minorEastAsia" w:hAnsiTheme="minorEastAsia"/>
          <w:szCs w:val="21"/>
          <w:lang w:val="en-US" w:eastAsia="zh-CN"/>
        </w:rPr>
      </w:pPr>
      <w:bookmarkStart w:id="4" w:name="_Toc3904105"/>
      <w:bookmarkStart w:id="5" w:name="_Toc4406547"/>
      <w:bookmarkStart w:id="6" w:name="_Toc2371665"/>
      <w:r>
        <w:rPr>
          <w:rFonts w:hint="eastAsia" w:asciiTheme="minorEastAsia" w:hAnsiTheme="minorEastAsia"/>
          <w:szCs w:val="21"/>
          <w:lang w:val="en-US" w:eastAsia="zh-CN"/>
        </w:rPr>
        <w:t>《电子商务》是市场营销专业学生的一门专业课。通过电子商务课程学习，使学生掌握电子商务的基本概念、基本理论和基本方法与技巧，培养学生将营销理论、电子商务营销理论及其他相关理论结合起来，分析问题、解决问题、进行实际电子商务营销的能力。通过电子商务的整个教学过程，不断提高学生的综合素质，为培养现代企业所需的高层次、综合性、复合性营销人才打下良好的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10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第1章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电子商务概述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电子商务基本概念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电子商务的系统组成及政策环境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电子商务的影响和发展前景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电子商务基本概念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2.电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子商务的系统组成及政策环境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电子商务中信息流、资金流和物流的相互关系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电子商务系统的一般框架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和基本组成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电子商务的理论基础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网络经济的基础理论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电子商务中的基础理论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pStyle w:val="8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了解网络经济中的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梅特卡夫定律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摩尔定律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吉尔德定律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非摩擦经济效应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　网络外部性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双螺旋理论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锁定效应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达维多定律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2.掌握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电子商务中的基础理论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长尾理论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注意力经济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六度分隔理论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维基经济学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、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威客理论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区分各种理论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电子商务商业模式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1.理解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电子商务商业模式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B2B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B2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4.了解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5.了解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O2O及其模式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1.B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2B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B2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C及其模式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O2O及其模式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区分掌握电子商务各商业模式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新兴的电子商务模式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跨境电子商务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社会化电子商务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虚拟现实与增强现实电子商务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跨境电子商务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社会化电子商务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虚拟现实与增强现实电子商务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区分掌握各电子商务各商业模式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移动电子商务与物联网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移动电子商务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物联网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移动电子商务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的概念技术及其应用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物联网的概念及其应用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物联网的体系结构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电子商务安全与风险管理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1.认识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电子商务安全的概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电子商务的安全体系架构及风险管理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3.认识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电子商务安全实践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电子商务的安全体系架构及风险管理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电子商务安全技术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电子支付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电子支付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电子货币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网上支付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移动支付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1.电子支付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2.电子货币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3.网上支付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4.移动支付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区分掌握各项技术及应用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第八章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1.认识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电子商务订单履行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4.认识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电子商务中的供应链管理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电子商务订单履行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电子商务物流模式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电子商务中的供应链管理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第九章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电子商务客户关系管理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1.认识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电子商务中客户关系管理的方式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电子商务中的客户服务管理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电子商务中的信任管理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电子商务客户关系管理技术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电子商务中客户关系管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子商务中的客户服务管理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电子商务中的信任管理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电子商务中客户关系管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子商务中的客户服务管理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电子商务中的信任管理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1.掌握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2.掌握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网络营销的理论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3.认识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网络营销市场分析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网络营销的理论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网络营销市场分析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网络营销策略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网络营销的理论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网络营销市场分析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网络营销策略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</w:t>
      </w:r>
      <w:bookmarkEnd w:id="7"/>
    </w:p>
    <w:tbl>
      <w:tblPr>
        <w:tblStyle w:val="10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default" w:asciiTheme="minorEastAsia" w:hAnsiTheme="minorEastAsia" w:eastAsia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  <w:lang w:eastAsia="zh-CN"/>
              </w:rPr>
              <w:t>一</w:t>
            </w:r>
            <w:r>
              <w:rPr>
                <w:rFonts w:hint="default" w:asciiTheme="minorEastAsia" w:hAnsiTheme="minorEastAsia" w:eastAsia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电子商务概述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电子商务基本概念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电子商务的系统组成及政策环境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第三节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电子商务的影响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电子商务的发展前景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第二章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电子商务的理论基础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网络经济的基础理论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电子商务中的基础理论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电子商务商业模式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bCs/>
                <w:szCs w:val="21"/>
                <w:lang w:val="en-US" w:eastAsia="zh-CN"/>
              </w:rPr>
              <w:t>理解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电子商务商业模式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B2B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及其模式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B2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C及其模式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C及其模式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第五节 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O2O及其模式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新兴的电子商务模式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跨境电子商务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社会化电子商务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虚拟现实与增强现实电子商务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第五章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移动电子商务与物联网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移动电子商务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物联网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第六章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电子商务安全与风险管理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电子商务安全的概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电子商务的安全体系架构及风险管理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电子商务安全技术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电子商务安全实践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第七章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电子支付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电子支付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电子货币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网上支付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移动支付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的概念及其应用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第八章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电子商务订单履行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电子商务物流模式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电子商务中的供应链管理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服务流程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第九章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电子商务客户关系管理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电子商务中客户关系管理的方式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电子商务中的客户服务管理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电子商务中的信任管理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第四节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电子商务客户关系管理技术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第十章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网络营销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第一节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网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络营销</w:t>
            </w:r>
            <w:r>
              <w:rPr>
                <w:rFonts w:hint="eastAsia" w:asciiTheme="minorEastAsia" w:hAnsi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的概念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第二节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网络营销的理论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第三节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网络营销市场分析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第四节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Theme="minorEastAsia" w:hAnsiTheme="minorEastAsia" w:eastAsiaTheme="minorEastAsia" w:cstheme="minorBidi"/>
                <w:bCs/>
                <w:kern w:val="2"/>
                <w:sz w:val="21"/>
                <w:szCs w:val="21"/>
                <w:lang w:val="en-US" w:eastAsia="zh-CN" w:bidi="ar-SA"/>
              </w:rPr>
              <w:t>网络营销策略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10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电子商务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应用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电子商务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理论知识和方法解决营销问题的能力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解决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电商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5" w:leftChars="-50" w:firstLine="1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有关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电子商务</w:t>
            </w: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前沿问题及相关实践的了解情况</w:t>
            </w:r>
          </w:p>
        </w:tc>
      </w:tr>
      <w:bookmarkEnd w:id="9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10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CA802"/>
    <w:multiLevelType w:val="singleLevel"/>
    <w:tmpl w:val="99ECA8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F9DB54B"/>
    <w:multiLevelType w:val="singleLevel"/>
    <w:tmpl w:val="DF9DB54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BB601F"/>
    <w:multiLevelType w:val="singleLevel"/>
    <w:tmpl w:val="E7BB60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6310F04"/>
    <w:multiLevelType w:val="singleLevel"/>
    <w:tmpl w:val="46310F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9546002"/>
    <w:rsid w:val="1AAB5E8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2FF83559"/>
    <w:rsid w:val="300268F5"/>
    <w:rsid w:val="319114AC"/>
    <w:rsid w:val="3265646C"/>
    <w:rsid w:val="32AC6093"/>
    <w:rsid w:val="32C61641"/>
    <w:rsid w:val="332B1021"/>
    <w:rsid w:val="334525B8"/>
    <w:rsid w:val="33A34F66"/>
    <w:rsid w:val="349C3F34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2EB3731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C9C642D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10157E"/>
    <w:rsid w:val="732A502D"/>
    <w:rsid w:val="73B14045"/>
    <w:rsid w:val="746A7AB4"/>
    <w:rsid w:val="751303C2"/>
    <w:rsid w:val="75501D93"/>
    <w:rsid w:val="76175655"/>
    <w:rsid w:val="764E2749"/>
    <w:rsid w:val="76797A4B"/>
    <w:rsid w:val="76D80919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4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2701</Words>
  <Characters>2857</Characters>
  <Lines>14</Lines>
  <Paragraphs>3</Paragraphs>
  <TotalTime>0</TotalTime>
  <ScaleCrop>false</ScaleCrop>
  <LinksUpToDate>false</LinksUpToDate>
  <CharactersWithSpaces>2924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2019-11-01T01:30:44Z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