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9" w:name="_GoBack"/>
      <w:bookmarkEnd w:id="9"/>
      <w:bookmarkStart w:id="0" w:name="_Toc4406545"/>
      <w:bookmarkStart w:id="1" w:name="_Toc2371663"/>
      <w:r>
        <w:rPr>
          <w:rFonts w:ascii="仿宋_GB2312" w:hAnsi="黑体" w:eastAsia="仿宋_GB2312"/>
          <w:sz w:val="30"/>
          <w:szCs w:val="30"/>
        </w:rPr>
        <w:pict>
          <v:rect id="_x0000_s1047" o:spid="_x0000_s1047" o:spt="1" style="position:absolute;left:0pt;margin-left:239.2pt;margin-top:34.4pt;height:66.6pt;width:216.6pt;z-index:25176576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巫月娥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5" o:spid="_x0000_s1045" o:spt="1" style="position:absolute;left:0pt;margin-left:-6.8pt;margin-top:34.4pt;height:66.6pt;width:229.8pt;z-index:25170329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2019年6月22日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30"/>
          <w:szCs w:val="30"/>
        </w:rPr>
        <w:pict>
          <v:rect id="_x0000_s1043" o:spid="_x0000_s1043" o:spt="1" style="position:absolute;left:0pt;margin-left:-35.6pt;margin-top:-25pt;height:72pt;width:515.4pt;z-index:25168793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val="en-US" w:eastAsia="zh-CN"/>
                    </w:rPr>
                    <w:t>房地产营销策划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tabs>
          <w:tab w:val="left" w:pos="1174"/>
        </w:tabs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ab/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房地产营销策划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Real Estate Marketing Planing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18223050200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市场营销、消费者行为学、营销策划、市场调查与预测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"http://search.dangdang.com/?key2=%C0%EE%D3%A2&amp;medium=01&amp;category_path=01.00.00.00.00.00"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李英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"http://search.dangdang.com/?key2=%D6%DC%D3%EE&amp;medium=01&amp;category_path=01.00.00.00.00.00" \t "http://product.dangdang.com/_blank" </w:instrTex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周宇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"http://search.dangdang.com/?key2=%D1%EE%CA%C0%D5%AF&amp;medium=01&amp;category_path=01.00.00.00.00.00" \t "http://product.dangdang.com/_blank" </w:instrTex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杨世寨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房地产市场营销（第2版）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.北京：清华大学出版社. 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"http://search.dangdang.com/?key2=%D3%E0%BD%E0&amp;medium=01&amp;category_path=01.00.00.00.00.00"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余洁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房地产营销策划与执行（第二版）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 上海：化学出版社.2018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"http://search.dangdang.com/?key2=%D6%DC%D6%BE%C7%BF&amp;medium=01&amp;category_path=01.00.00.00.00.00"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周志强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.房地产营销策划.武汉：华中科技大学出版社.2017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祖立广.房地产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营销策划(第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版)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.北京：机械工业出版社.2018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掌握房地产营销策划的基本理论、方法，包括房地产市场调查分析、房地产市场细分、房地产项目市场定位、房地产产品策划、推广策划、渠道策划等方面的专业性知识。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运用房地产营销策划知识解决房地产企业实际营销问题。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利用房地产营销策划知识进行创新创业。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.1专业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  <w:r>
              <w:rPr>
                <w:rFonts w:hint="eastAsia" w:ascii="宋体" w:hAnsi="宋体" w:eastAsia="宋体"/>
                <w:szCs w:val="21"/>
              </w:rPr>
              <w:t>。具有国际视野，系统掌握市场营销专业基础知识。具备市场调查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Cs w:val="21"/>
              </w:rPr>
              <w:t>预测、营销策划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销售管理</w:t>
            </w:r>
            <w:r>
              <w:rPr>
                <w:rFonts w:hint="eastAsia" w:ascii="宋体" w:hAnsi="宋体" w:eastAsia="宋体"/>
                <w:szCs w:val="21"/>
              </w:rPr>
              <w:t>等组织管理问题的敏锐性和判断力，并能够运用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/>
                <w:szCs w:val="21"/>
              </w:rPr>
              <w:t>学理论和方法，系统分析、解决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毕业要求4：创新创业能力。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4.1 具有较强的组织沟通能力与探索性、批判性思维能力，不断尝试理论或实践创新。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4.2 具有创业所具备的专业和人文素养。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4.3 具有创新意识，</w:t>
            </w:r>
            <w:r>
              <w:rPr>
                <w:rFonts w:hint="eastAsia" w:ascii="宋体" w:hAnsi="宋体" w:eastAsia="宋体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55"/>
        <w:gridCol w:w="3016"/>
        <w:gridCol w:w="208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0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0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第一章 </w:t>
            </w:r>
            <w:r>
              <w:rPr>
                <w:b w:val="0"/>
                <w:bCs/>
              </w:rPr>
              <w:t>房地产</w:t>
            </w:r>
            <w:r>
              <w:rPr>
                <w:rFonts w:hint="eastAsia"/>
                <w:b w:val="0"/>
                <w:bCs/>
              </w:rPr>
              <w:t>营销策划基础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回顾市场营销理论,了解4C理论、掌握4P理论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市场营销的概念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房地产市场的特点</w:t>
            </w: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掌握房地产营销销售的流程</w:t>
            </w:r>
            <w:r>
              <w:rPr>
                <w:rFonts w:hint="eastAsia" w:ascii="宋体" w:hAnsi="宋体"/>
                <w:lang w:val="en-US" w:eastAsia="zh-CN"/>
              </w:rPr>
              <w:t>4.</w:t>
            </w:r>
            <w:r>
              <w:rPr>
                <w:rFonts w:hint="eastAsia" w:ascii="宋体" w:hAnsi="宋体"/>
              </w:rPr>
              <w:t>对中国房地产营销的发展特征及趋势有所了解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房地产市场营销学的特点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房地产市场营销的流程</w:t>
            </w: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中国房地产市场营销的阶段发展特征及趋势。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房地产市场营销的流程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中国房地产市场营销的阶段发展特征及趋势。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房地产市场调研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了解房地产市场调研的概念与重要性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正确理解房地产市场调研的程序</w:t>
            </w: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掌握房地产市场调研的主要方法，包括如何进行房地产市场的外部调研，如何对不同阶段不同类型的房地产市场进行调研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房地产市场调研的概念与重要性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房地产市场调研的程序</w:t>
            </w: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房地产市场调研的主要方法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房地产市场调研的主要方法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第三章 房地产项目市场定位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了解房地产市场细分的概念和作用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掌握房地产细分的程序和方法</w:t>
            </w: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明确项目定位的目标</w:t>
            </w:r>
            <w:r>
              <w:rPr>
                <w:rFonts w:hint="eastAsia" w:ascii="宋体" w:hAnsi="宋体"/>
                <w:lang w:val="en-US" w:eastAsia="zh-CN"/>
              </w:rPr>
              <w:t>4.</w:t>
            </w:r>
            <w:r>
              <w:rPr>
                <w:rFonts w:hint="eastAsia" w:ascii="宋体" w:hAnsi="宋体"/>
              </w:rPr>
              <w:t>掌握项目本体分析和竞争项目对比分析</w:t>
            </w:r>
            <w:r>
              <w:rPr>
                <w:rFonts w:hint="eastAsia" w:ascii="宋体" w:hAnsi="宋体"/>
                <w:lang w:val="en-US" w:eastAsia="zh-CN"/>
              </w:rPr>
              <w:t>5.</w:t>
            </w:r>
            <w:r>
              <w:rPr>
                <w:rFonts w:hint="eastAsia" w:ascii="宋体" w:hAnsi="宋体"/>
              </w:rPr>
              <w:t>对市场需求量进行预测，并选择项目细分市场的方法。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房地产细分的程序和方法</w:t>
            </w: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项目本体分析和竞争项目对比分析</w:t>
            </w:r>
            <w:r>
              <w:rPr>
                <w:rFonts w:hint="eastAsia" w:ascii="宋体" w:hAnsi="宋体"/>
                <w:lang w:val="en-US" w:eastAsia="zh-CN"/>
              </w:rPr>
              <w:t>3.房地产项目市场定位</w:t>
            </w:r>
            <w:r>
              <w:rPr>
                <w:rFonts w:hint="eastAsia" w:ascii="宋体" w:hAnsi="宋体"/>
              </w:rPr>
              <w:t>方法。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1.房地产</w:t>
            </w:r>
            <w:r>
              <w:rPr>
                <w:rFonts w:hint="eastAsia" w:ascii="宋体" w:hAnsi="宋体"/>
              </w:rPr>
              <w:t>市场细分的</w:t>
            </w:r>
            <w:r>
              <w:rPr>
                <w:rFonts w:hint="eastAsia" w:ascii="宋体" w:hAnsi="宋体"/>
                <w:lang w:val="en-US" w:eastAsia="zh-CN"/>
              </w:rPr>
              <w:t>参数</w:t>
            </w:r>
            <w:r>
              <w:rPr>
                <w:rFonts w:hint="eastAsia" w:ascii="宋体" w:hAnsi="宋体"/>
              </w:rPr>
              <w:t>和方法</w:t>
            </w:r>
            <w:r>
              <w:rPr>
                <w:rFonts w:hint="eastAsia" w:ascii="宋体" w:hAnsi="宋体"/>
                <w:lang w:val="en-US" w:eastAsia="zh-CN"/>
              </w:rPr>
              <w:t>2.房地产</w:t>
            </w:r>
            <w:r>
              <w:rPr>
                <w:rFonts w:hint="eastAsia" w:ascii="宋体" w:hAnsi="宋体"/>
              </w:rPr>
              <w:t>市场定位的依据和定位策略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eastAsia="宋体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房地产市场营销策略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016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了解房地产项目的主题概念设计，房地产项目的卖点整合及房地产营销的分销售计划2.掌握房地产营销的产品策略，包括项目的总体规划、单体设计、景观设计及配套设施设计3.了解房地产营销的销售渠道策略4.掌握房地产市场营销宣传推广策略。</w:t>
            </w:r>
          </w:p>
          <w:p>
            <w:pPr>
              <w:spacing w:line="28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1.房地产项目的主题概念设计2.房地产项目的卖点整合及房地产营销的分销售计划3.房地产营销的产品策略4.房地产营销的销售渠道策略5.房地产市场营销宣传推广策略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1.房地产项目的主题概念设计2.房地产市场营销宣传推广策略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 xml:space="preserve">第一章 </w:t>
            </w:r>
            <w:r>
              <w:rPr>
                <w:b w:val="0"/>
                <w:bCs/>
              </w:rPr>
              <w:t>房地产</w:t>
            </w:r>
            <w:r>
              <w:rPr>
                <w:rFonts w:hint="eastAsia"/>
                <w:b w:val="0"/>
                <w:bCs/>
              </w:rPr>
              <w:t>营销策划基础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第一节 房地产</w:t>
            </w:r>
            <w:r>
              <w:rPr>
                <w:bCs/>
              </w:rPr>
              <w:t>市场营销</w:t>
            </w:r>
            <w:r>
              <w:rPr>
                <w:rFonts w:hint="eastAsia"/>
                <w:bCs/>
              </w:rPr>
              <w:t>策划</w:t>
            </w:r>
            <w:r>
              <w:rPr>
                <w:bCs/>
              </w:rPr>
              <w:t>的概念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</w:rPr>
              <w:t>第二节 房地产营销策划的</w:t>
            </w:r>
            <w:r>
              <w:rPr>
                <w:bCs/>
              </w:rPr>
              <w:t>发展</w:t>
            </w:r>
            <w:r>
              <w:rPr>
                <w:rFonts w:hint="eastAsia"/>
                <w:bCs/>
              </w:rPr>
              <w:t>模式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b w:val="0"/>
                <w:bCs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第二章 </w:t>
            </w:r>
            <w:r>
              <w:rPr>
                <w:rFonts w:hint="eastAsia"/>
                <w:b w:val="0"/>
                <w:bCs/>
              </w:rPr>
              <w:t>房地产市场调研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一</w:t>
            </w:r>
            <w:r>
              <w:rPr>
                <w:bCs/>
              </w:rPr>
              <w:t>节 房地产市场</w:t>
            </w:r>
            <w:r>
              <w:rPr>
                <w:rFonts w:hint="eastAsia"/>
                <w:bCs/>
              </w:rPr>
              <w:t>环境分析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bCs/>
              </w:rPr>
              <w:t>第二节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房地产市</w:t>
            </w:r>
            <w:r>
              <w:rPr>
                <w:rFonts w:hint="eastAsia"/>
                <w:bCs/>
              </w:rPr>
              <w:t>市场竞争对手动态调研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/>
                <w:bCs/>
              </w:rPr>
              <w:t>第三节  住宅市场需求调研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市场报告作业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第三章 房地产项目市场定位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bCs/>
              </w:rPr>
              <w:t>第一节 房地产市场细分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bCs/>
              </w:rPr>
              <w:t>第二节 项目的市场定位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第四章 房地产市场营销策略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bCs/>
              </w:rPr>
              <w:t>第一节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房地产市场营销产品策略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二</w:t>
            </w:r>
            <w:r>
              <w:rPr>
                <w:bCs/>
              </w:rPr>
              <w:t>节 房地产市场营销销售渠道策略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bCs/>
              </w:rPr>
              <w:t>第</w:t>
            </w:r>
            <w:r>
              <w:rPr>
                <w:rFonts w:hint="eastAsia"/>
                <w:bCs/>
              </w:rPr>
              <w:t>三</w:t>
            </w:r>
            <w:r>
              <w:rPr>
                <w:bCs/>
              </w:rPr>
              <w:t>节 房地产市场营销宣传推广策略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房地产营销策划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房地产营销策划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房地产企业实际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 w:leftChars="0"/>
              <w:jc w:val="left"/>
              <w:textAlignment w:val="auto"/>
              <w:rPr>
                <w:rFonts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利用房地产营销策划知识进行创新创业的能力和素养</w:t>
            </w:r>
          </w:p>
        </w:tc>
      </w:tr>
    </w:tbl>
    <w:p>
      <w:pPr>
        <w:rPr>
          <w:rFonts w:ascii="宋体" w:hAnsi="宋体" w:eastAsia="宋体"/>
          <w:color w:val="FF0000"/>
          <w:szCs w:val="21"/>
        </w:rPr>
      </w:pPr>
      <w:bookmarkStart w:id="8" w:name="_Toc4406550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讨论、调查报告分析演示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报告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期末报告对房地产市场细分、定位、概念包装、推广方式的整体掌握情况。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32375"/>
    <w:rsid w:val="006625D0"/>
    <w:rsid w:val="00664803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5D41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C00F76"/>
    <w:rsid w:val="02B50C61"/>
    <w:rsid w:val="02D0452B"/>
    <w:rsid w:val="03042B00"/>
    <w:rsid w:val="033A6543"/>
    <w:rsid w:val="037B149F"/>
    <w:rsid w:val="03E118B0"/>
    <w:rsid w:val="04C14806"/>
    <w:rsid w:val="054151F1"/>
    <w:rsid w:val="0544348C"/>
    <w:rsid w:val="059C3A72"/>
    <w:rsid w:val="05F84196"/>
    <w:rsid w:val="0601766E"/>
    <w:rsid w:val="060A781C"/>
    <w:rsid w:val="06933BE0"/>
    <w:rsid w:val="06D3102C"/>
    <w:rsid w:val="07D07F0F"/>
    <w:rsid w:val="08220389"/>
    <w:rsid w:val="08DA01A4"/>
    <w:rsid w:val="09643919"/>
    <w:rsid w:val="09674470"/>
    <w:rsid w:val="09D64626"/>
    <w:rsid w:val="09E62076"/>
    <w:rsid w:val="09F96205"/>
    <w:rsid w:val="0A221CD2"/>
    <w:rsid w:val="0AF602DB"/>
    <w:rsid w:val="0C003AA3"/>
    <w:rsid w:val="0D40393A"/>
    <w:rsid w:val="0DC90D58"/>
    <w:rsid w:val="0FAD2BC6"/>
    <w:rsid w:val="10224A4F"/>
    <w:rsid w:val="10717E76"/>
    <w:rsid w:val="10DD6748"/>
    <w:rsid w:val="10F070C8"/>
    <w:rsid w:val="113E21C6"/>
    <w:rsid w:val="1154269D"/>
    <w:rsid w:val="11993C20"/>
    <w:rsid w:val="11DE59BC"/>
    <w:rsid w:val="13256C29"/>
    <w:rsid w:val="137155C4"/>
    <w:rsid w:val="13872008"/>
    <w:rsid w:val="13FD0DA7"/>
    <w:rsid w:val="141D4159"/>
    <w:rsid w:val="146D4BC5"/>
    <w:rsid w:val="14A07863"/>
    <w:rsid w:val="150702A0"/>
    <w:rsid w:val="152A2394"/>
    <w:rsid w:val="15424157"/>
    <w:rsid w:val="155855EB"/>
    <w:rsid w:val="162C1728"/>
    <w:rsid w:val="16474EF5"/>
    <w:rsid w:val="1658718B"/>
    <w:rsid w:val="178E006F"/>
    <w:rsid w:val="179448AE"/>
    <w:rsid w:val="17975344"/>
    <w:rsid w:val="17CE34BA"/>
    <w:rsid w:val="1800138E"/>
    <w:rsid w:val="1949091B"/>
    <w:rsid w:val="199104C4"/>
    <w:rsid w:val="19A34654"/>
    <w:rsid w:val="19C0336F"/>
    <w:rsid w:val="19EC50E8"/>
    <w:rsid w:val="1A8A7442"/>
    <w:rsid w:val="1AE017E6"/>
    <w:rsid w:val="1B655BDC"/>
    <w:rsid w:val="1B70771A"/>
    <w:rsid w:val="1C51209D"/>
    <w:rsid w:val="1D0C6C40"/>
    <w:rsid w:val="1D296574"/>
    <w:rsid w:val="1D8F2784"/>
    <w:rsid w:val="1DB534A8"/>
    <w:rsid w:val="1DCB5447"/>
    <w:rsid w:val="1E3942EE"/>
    <w:rsid w:val="1E4B088A"/>
    <w:rsid w:val="1E5268D3"/>
    <w:rsid w:val="1E820167"/>
    <w:rsid w:val="1E824079"/>
    <w:rsid w:val="1F271A62"/>
    <w:rsid w:val="1F3619E1"/>
    <w:rsid w:val="1F365914"/>
    <w:rsid w:val="1FA725B2"/>
    <w:rsid w:val="1FEF6211"/>
    <w:rsid w:val="1FFD4695"/>
    <w:rsid w:val="20923432"/>
    <w:rsid w:val="212A0E3B"/>
    <w:rsid w:val="215C40D2"/>
    <w:rsid w:val="21607C33"/>
    <w:rsid w:val="21C65233"/>
    <w:rsid w:val="221F74BE"/>
    <w:rsid w:val="22643147"/>
    <w:rsid w:val="226E37F6"/>
    <w:rsid w:val="228A7B6B"/>
    <w:rsid w:val="233D5B93"/>
    <w:rsid w:val="23895C7B"/>
    <w:rsid w:val="23F00C1A"/>
    <w:rsid w:val="24000308"/>
    <w:rsid w:val="24465A02"/>
    <w:rsid w:val="247006F6"/>
    <w:rsid w:val="25034DAB"/>
    <w:rsid w:val="25661DE0"/>
    <w:rsid w:val="26241D37"/>
    <w:rsid w:val="263A1BCF"/>
    <w:rsid w:val="26446FA8"/>
    <w:rsid w:val="26853C67"/>
    <w:rsid w:val="269338F6"/>
    <w:rsid w:val="26A12E5B"/>
    <w:rsid w:val="27196B0B"/>
    <w:rsid w:val="2728640A"/>
    <w:rsid w:val="272E0326"/>
    <w:rsid w:val="27563298"/>
    <w:rsid w:val="2765672D"/>
    <w:rsid w:val="27A1664D"/>
    <w:rsid w:val="285D40A3"/>
    <w:rsid w:val="286F76F6"/>
    <w:rsid w:val="28A475FB"/>
    <w:rsid w:val="28BC79FC"/>
    <w:rsid w:val="28FD752F"/>
    <w:rsid w:val="29985740"/>
    <w:rsid w:val="29A35766"/>
    <w:rsid w:val="2A9B7088"/>
    <w:rsid w:val="2AEA7403"/>
    <w:rsid w:val="2AED37C4"/>
    <w:rsid w:val="2B155661"/>
    <w:rsid w:val="2B3553C3"/>
    <w:rsid w:val="2B5232DE"/>
    <w:rsid w:val="2BFB20FC"/>
    <w:rsid w:val="2C12477E"/>
    <w:rsid w:val="2C5D57D2"/>
    <w:rsid w:val="2D0E7AE6"/>
    <w:rsid w:val="2D8A6B42"/>
    <w:rsid w:val="2EFE793B"/>
    <w:rsid w:val="2F2F5CBF"/>
    <w:rsid w:val="2F5B2E16"/>
    <w:rsid w:val="2F94485B"/>
    <w:rsid w:val="2F9F1B20"/>
    <w:rsid w:val="30076567"/>
    <w:rsid w:val="301C020D"/>
    <w:rsid w:val="3087758F"/>
    <w:rsid w:val="309B2BD1"/>
    <w:rsid w:val="30C518DC"/>
    <w:rsid w:val="310B251A"/>
    <w:rsid w:val="314F3E4E"/>
    <w:rsid w:val="31737763"/>
    <w:rsid w:val="31882009"/>
    <w:rsid w:val="319D7574"/>
    <w:rsid w:val="31EB587A"/>
    <w:rsid w:val="31FC50AE"/>
    <w:rsid w:val="320120B7"/>
    <w:rsid w:val="33352A0E"/>
    <w:rsid w:val="333F4739"/>
    <w:rsid w:val="335323BF"/>
    <w:rsid w:val="33BF0905"/>
    <w:rsid w:val="358A44F4"/>
    <w:rsid w:val="35B94239"/>
    <w:rsid w:val="361958A1"/>
    <w:rsid w:val="36F036B6"/>
    <w:rsid w:val="36FA7F61"/>
    <w:rsid w:val="36FD41BD"/>
    <w:rsid w:val="383545CA"/>
    <w:rsid w:val="38852412"/>
    <w:rsid w:val="38DE0B83"/>
    <w:rsid w:val="39840AB4"/>
    <w:rsid w:val="3986343A"/>
    <w:rsid w:val="39C26CBC"/>
    <w:rsid w:val="3A054E4F"/>
    <w:rsid w:val="3AA634A8"/>
    <w:rsid w:val="3AAB798A"/>
    <w:rsid w:val="3AF475E4"/>
    <w:rsid w:val="3B1A530A"/>
    <w:rsid w:val="3B8B193B"/>
    <w:rsid w:val="3C8826C5"/>
    <w:rsid w:val="3D004368"/>
    <w:rsid w:val="3DA128B3"/>
    <w:rsid w:val="3DE0525B"/>
    <w:rsid w:val="3E123D99"/>
    <w:rsid w:val="3E28773A"/>
    <w:rsid w:val="3E5F6881"/>
    <w:rsid w:val="3E741402"/>
    <w:rsid w:val="3EA47327"/>
    <w:rsid w:val="3F080B1B"/>
    <w:rsid w:val="3F167434"/>
    <w:rsid w:val="3FF7534E"/>
    <w:rsid w:val="40970A62"/>
    <w:rsid w:val="40A278EF"/>
    <w:rsid w:val="40BB4A7D"/>
    <w:rsid w:val="413465AA"/>
    <w:rsid w:val="419F6399"/>
    <w:rsid w:val="41AF4AB7"/>
    <w:rsid w:val="41E41DC5"/>
    <w:rsid w:val="421F7B9D"/>
    <w:rsid w:val="42E93AAB"/>
    <w:rsid w:val="4317327A"/>
    <w:rsid w:val="4383516D"/>
    <w:rsid w:val="43B371E9"/>
    <w:rsid w:val="44024302"/>
    <w:rsid w:val="44E65070"/>
    <w:rsid w:val="4502272B"/>
    <w:rsid w:val="45DF2EA4"/>
    <w:rsid w:val="479624B2"/>
    <w:rsid w:val="47B853B0"/>
    <w:rsid w:val="480E54F4"/>
    <w:rsid w:val="48E942D6"/>
    <w:rsid w:val="4A0572AF"/>
    <w:rsid w:val="4A6677C2"/>
    <w:rsid w:val="4AA65115"/>
    <w:rsid w:val="4AA71330"/>
    <w:rsid w:val="4B61228C"/>
    <w:rsid w:val="4C29209C"/>
    <w:rsid w:val="4C555173"/>
    <w:rsid w:val="4CAF5FEC"/>
    <w:rsid w:val="4D26225D"/>
    <w:rsid w:val="4D474216"/>
    <w:rsid w:val="4E176792"/>
    <w:rsid w:val="4E476BAB"/>
    <w:rsid w:val="4F350962"/>
    <w:rsid w:val="4F6E4369"/>
    <w:rsid w:val="503527DE"/>
    <w:rsid w:val="50BE5647"/>
    <w:rsid w:val="51425157"/>
    <w:rsid w:val="526D56D2"/>
    <w:rsid w:val="52AE4A23"/>
    <w:rsid w:val="53F26AEE"/>
    <w:rsid w:val="54513BF5"/>
    <w:rsid w:val="54AF11A6"/>
    <w:rsid w:val="55361320"/>
    <w:rsid w:val="55B36505"/>
    <w:rsid w:val="55D855FD"/>
    <w:rsid w:val="56271C58"/>
    <w:rsid w:val="56753A01"/>
    <w:rsid w:val="569B678E"/>
    <w:rsid w:val="56DB77CC"/>
    <w:rsid w:val="573E2846"/>
    <w:rsid w:val="57961762"/>
    <w:rsid w:val="57FB70BA"/>
    <w:rsid w:val="581877F9"/>
    <w:rsid w:val="590A5767"/>
    <w:rsid w:val="59193212"/>
    <w:rsid w:val="59341623"/>
    <w:rsid w:val="59742859"/>
    <w:rsid w:val="598F45BC"/>
    <w:rsid w:val="59E33EA2"/>
    <w:rsid w:val="5A1F5E85"/>
    <w:rsid w:val="5A632245"/>
    <w:rsid w:val="5A721B57"/>
    <w:rsid w:val="5A7924AB"/>
    <w:rsid w:val="5AB46225"/>
    <w:rsid w:val="5B3B2F87"/>
    <w:rsid w:val="5B4A37E3"/>
    <w:rsid w:val="5B56525A"/>
    <w:rsid w:val="5BA8756A"/>
    <w:rsid w:val="5C1A2F0C"/>
    <w:rsid w:val="5C610232"/>
    <w:rsid w:val="5CD73F02"/>
    <w:rsid w:val="5CE221E3"/>
    <w:rsid w:val="5D0F403D"/>
    <w:rsid w:val="5DCE72F8"/>
    <w:rsid w:val="5E317243"/>
    <w:rsid w:val="5EA16916"/>
    <w:rsid w:val="5F442D52"/>
    <w:rsid w:val="5F631DEB"/>
    <w:rsid w:val="5FD94926"/>
    <w:rsid w:val="606F56FC"/>
    <w:rsid w:val="608D3EE1"/>
    <w:rsid w:val="60D41C1D"/>
    <w:rsid w:val="60F7583B"/>
    <w:rsid w:val="611350C4"/>
    <w:rsid w:val="61AA5428"/>
    <w:rsid w:val="62712A9C"/>
    <w:rsid w:val="62A942CD"/>
    <w:rsid w:val="62B67DCD"/>
    <w:rsid w:val="62CC7370"/>
    <w:rsid w:val="62D953E9"/>
    <w:rsid w:val="63674833"/>
    <w:rsid w:val="63885B3C"/>
    <w:rsid w:val="63CA479A"/>
    <w:rsid w:val="64104873"/>
    <w:rsid w:val="643C350A"/>
    <w:rsid w:val="64C12559"/>
    <w:rsid w:val="65183F3C"/>
    <w:rsid w:val="65895CFC"/>
    <w:rsid w:val="662B34F2"/>
    <w:rsid w:val="662D7F32"/>
    <w:rsid w:val="6681785E"/>
    <w:rsid w:val="67021CD8"/>
    <w:rsid w:val="679F196D"/>
    <w:rsid w:val="68446648"/>
    <w:rsid w:val="68796761"/>
    <w:rsid w:val="69206327"/>
    <w:rsid w:val="69331DBF"/>
    <w:rsid w:val="6A4A1B1A"/>
    <w:rsid w:val="6A6F3218"/>
    <w:rsid w:val="6AA0684D"/>
    <w:rsid w:val="6B1160D8"/>
    <w:rsid w:val="6B4D35DF"/>
    <w:rsid w:val="6B8C6929"/>
    <w:rsid w:val="6C9205DB"/>
    <w:rsid w:val="6D67229C"/>
    <w:rsid w:val="6DCF077D"/>
    <w:rsid w:val="6DDC1EB8"/>
    <w:rsid w:val="6F3B41B8"/>
    <w:rsid w:val="6F6E2D8C"/>
    <w:rsid w:val="6F732288"/>
    <w:rsid w:val="6F8D676B"/>
    <w:rsid w:val="6FE0225F"/>
    <w:rsid w:val="70090424"/>
    <w:rsid w:val="70E961E2"/>
    <w:rsid w:val="714472FD"/>
    <w:rsid w:val="71604DAA"/>
    <w:rsid w:val="71FD0642"/>
    <w:rsid w:val="72400BDA"/>
    <w:rsid w:val="72510FC7"/>
    <w:rsid w:val="7268250C"/>
    <w:rsid w:val="729A3C15"/>
    <w:rsid w:val="72CE5C43"/>
    <w:rsid w:val="72D50F65"/>
    <w:rsid w:val="72E51A2D"/>
    <w:rsid w:val="73433C49"/>
    <w:rsid w:val="744F7135"/>
    <w:rsid w:val="74595725"/>
    <w:rsid w:val="75072C5C"/>
    <w:rsid w:val="75305275"/>
    <w:rsid w:val="765E604C"/>
    <w:rsid w:val="76691BE9"/>
    <w:rsid w:val="769A0A05"/>
    <w:rsid w:val="77353AA2"/>
    <w:rsid w:val="77CE55F0"/>
    <w:rsid w:val="786676C2"/>
    <w:rsid w:val="78F74C7F"/>
    <w:rsid w:val="791924EB"/>
    <w:rsid w:val="794E6BCF"/>
    <w:rsid w:val="797659D6"/>
    <w:rsid w:val="798D6546"/>
    <w:rsid w:val="79CB02A0"/>
    <w:rsid w:val="79CB4479"/>
    <w:rsid w:val="7AFC40B9"/>
    <w:rsid w:val="7BC02EED"/>
    <w:rsid w:val="7D5031C0"/>
    <w:rsid w:val="7D6B39D1"/>
    <w:rsid w:val="7D8605B8"/>
    <w:rsid w:val="7D9A2D08"/>
    <w:rsid w:val="7DD47387"/>
    <w:rsid w:val="7DD569C0"/>
    <w:rsid w:val="7E3729FB"/>
    <w:rsid w:val="7EA962A4"/>
    <w:rsid w:val="7EB4365A"/>
    <w:rsid w:val="7F633E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章样式"/>
    <w:basedOn w:val="1"/>
    <w:uiPriority w:val="0"/>
    <w:pPr>
      <w:spacing w:beforeLines="50" w:afterLines="50"/>
    </w:pPr>
    <w:rPr>
      <w:rFonts w:ascii="宋体" w:hAnsi="宋体"/>
      <w:b/>
      <w:szCs w:val="24"/>
    </w:rPr>
  </w:style>
  <w:style w:type="paragraph" w:customStyle="1" w:styleId="24">
    <w:name w:val="教学内容样式1"/>
    <w:basedOn w:val="1"/>
    <w:qFormat/>
    <w:uiPriority w:val="0"/>
    <w:pPr>
      <w:adjustRightInd w:val="0"/>
      <w:snapToGrid w:val="0"/>
      <w:spacing w:line="360" w:lineRule="exact"/>
      <w:ind w:firstLine="20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5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5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2019-11-01T01:20:53Z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