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4406545"/>
      <w:bookmarkStart w:id="1" w:name="_Toc2371663"/>
      <w:r>
        <w:rPr>
          <w:rFonts w:ascii="黑体" w:hAnsi="黑体" w:eastAsia="黑体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广告策划本科课程教学大纲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ascii="仿宋_GB2312" w:hAnsi="黑体" w:eastAsia="仿宋_GB2312"/>
          <w:sz w:val="30"/>
          <w:szCs w:val="30"/>
        </w:rPr>
      </w:pPr>
      <w:bookmarkStart w:id="11" w:name="_GoBack"/>
      <w:bookmarkEnd w:id="11"/>
      <w:r>
        <w:rPr>
          <w:rFonts w:ascii="仿宋_GB2312" w:hAnsi="黑体" w:eastAsia="仿宋_GB2312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编制人：王学伍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巫月娥</w:t>
                  </w:r>
                </w:p>
                <w:p/>
              </w:txbxContent>
            </v:textbox>
          </v:rect>
        </w:pict>
      </w:r>
      <w:r>
        <w:rPr>
          <w:rFonts w:ascii="仿宋_GB2312" w:hAnsi="黑体" w:eastAsia="仿宋_GB2312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开课部门：商学院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编制时间：2019年6月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</w:p>
    <w:p>
      <w:pPr>
        <w:spacing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广告策划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Ad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vertising Planning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18205050200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必修课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市场营销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市场营销学、营销策划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严学军，汪涛.广告策划与管理（第四版）.北京：高等教育出版社，2017.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1.《广告学概论》编写组.广告学概论.高等教育出版社.2018年.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2.[美]加里·阿姆斯特朗，菲利普·科特勒.市场营销学（原书第13版）.赵占波等译.北京:机械工业出版社，2019.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4406546"/>
      <w:bookmarkStart w:id="3" w:name="_Toc2371664"/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t>掌握广告策划活动中各个环节的核心概念和主要流程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t>掌握广告策划各环节中的策略，学会分析环境、数据针对性分析问题、找到解决方案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具有商业伦理底线思维、市场创新意识和道德准则，践行社会主义核心价值观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t>掌握科学辩证、有</w:t>
            </w:r>
            <w:r>
              <w:rPr>
                <w:rFonts w:ascii="宋体" w:hAnsi="宋体" w:eastAsia="宋体"/>
                <w:szCs w:val="21"/>
              </w:rPr>
              <w:t>效分析创设广告策划活动的探索能力</w:t>
            </w:r>
          </w:p>
        </w:tc>
      </w:tr>
    </w:tbl>
    <w:p>
      <w:pPr>
        <w:spacing w:beforeLines="50"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毕业要求1:知识获取能力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1.2专业性知识。本专业学生须系统地掌握管理学、组织行为学、会计学、财务管理学、市场营销学、创业学等工商管理类专业理论知识与方法，重点掌握市场营销学的理论前沿及发展动态。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</w:t>
            </w:r>
            <w:r>
              <w:rPr>
                <w:rFonts w:hint="eastAsia"/>
                <w:szCs w:val="21"/>
              </w:rPr>
              <w:t>知识应用能力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adjustRightInd w:val="0"/>
              <w:snapToGrid w:val="0"/>
              <w:spacing w:line="320" w:lineRule="exact"/>
              <w:ind w:left="420" w:hanging="420" w:hanging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2.1 专业知识应用能力。具有国际视野，系统掌握市场营销专业基础知识。具备市场调查与预测、营销策划、销售管理等组织管理问题的敏锐性和判断力，并能够运用市场营销学理论和方法，系统分析、解决企业的营销问题。</w:t>
            </w:r>
          </w:p>
          <w:p>
            <w:pPr>
              <w:pStyle w:val="22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2.3 互利网技术应用。熟练运用网络技术和数字营销工具分析解决企业现代营销中的问题。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毕业要求5：科学研究能力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5.1掌握文献检索、资料查询的基本方法，具有一定的科学研究能力</w:t>
            </w:r>
          </w:p>
          <w:p>
            <w:pPr>
              <w:pStyle w:val="22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5.3掌握管理、市场营销的定性和定量的研究分析方法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毕业要求3：思想道德素质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3.2 拥护党的领导和社会主义制度，具有较强的形势分析和判断能力。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毕业要求4：创新创业能力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4.3 具有创新意识，通过参与课外科研训练、学科竞赛、文化活动、学科技能训练，具备创新创业等实践活动能力。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毕业要求5：科学研究能力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5.2了解本学科的理论前沿和发展动态，具有较强的科研创新能力。</w:t>
            </w:r>
          </w:p>
        </w:tc>
      </w:tr>
    </w:tbl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3904105"/>
      <w:bookmarkStart w:id="5" w:name="_Toc4406547"/>
      <w:bookmarkStart w:id="6" w:name="_Toc2371665"/>
    </w:p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4"/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3091"/>
        <w:gridCol w:w="2489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309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48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广告基本知识</w:t>
            </w:r>
          </w:p>
        </w:tc>
        <w:tc>
          <w:tcPr>
            <w:tcW w:w="3091" w:type="dxa"/>
            <w:vAlign w:val="center"/>
          </w:tcPr>
          <w:p>
            <w:r>
              <w:rPr>
                <w:rFonts w:hint="eastAsia"/>
              </w:rPr>
              <w:t xml:space="preserve"> 广告的内涵与构成</w:t>
            </w:r>
          </w:p>
          <w:p>
            <w:r>
              <w:rPr>
                <w:rFonts w:hint="eastAsia"/>
              </w:rPr>
              <w:t xml:space="preserve"> 广告的功能与类型</w:t>
            </w:r>
          </w:p>
          <w:p>
            <w:r>
              <w:rPr>
                <w:rFonts w:hint="eastAsia"/>
              </w:rPr>
              <w:t xml:space="preserve"> 广告的产生与发展</w:t>
            </w:r>
          </w:p>
        </w:tc>
        <w:tc>
          <w:tcPr>
            <w:tcW w:w="2489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1.广告基本概念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2.广告功能与类型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1.广告形态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2.广告发展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广告组织</w:t>
            </w:r>
          </w:p>
        </w:tc>
        <w:tc>
          <w:tcPr>
            <w:tcW w:w="3091" w:type="dxa"/>
            <w:vAlign w:val="center"/>
          </w:tcPr>
          <w:p>
            <w:r>
              <w:rPr>
                <w:rFonts w:hint="eastAsia"/>
              </w:rPr>
              <w:t xml:space="preserve"> 企业广告组织</w:t>
            </w:r>
          </w:p>
          <w:p>
            <w:r>
              <w:rPr>
                <w:rFonts w:hint="eastAsia"/>
              </w:rPr>
              <w:t xml:space="preserve"> 专业广告组织</w:t>
            </w:r>
          </w:p>
          <w:p>
            <w:r>
              <w:rPr>
                <w:rFonts w:hint="eastAsia"/>
              </w:rPr>
              <w:t xml:space="preserve"> 媒体广告组织</w:t>
            </w:r>
          </w:p>
          <w:p>
            <w:r>
              <w:rPr>
                <w:rFonts w:hint="eastAsia"/>
              </w:rPr>
              <w:t xml:space="preserve"> 广告团体组织</w:t>
            </w:r>
          </w:p>
        </w:tc>
        <w:tc>
          <w:tcPr>
            <w:tcW w:w="2489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ascii="宋体" w:hAnsi="宋体" w:eastAsia="宋体"/>
                <w:szCs w:val="21"/>
              </w:rPr>
              <w:t>广告组织的构成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2.广告组织的分工合作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1.广告业结构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2.广告从业者的市场认知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广告调研</w:t>
            </w:r>
          </w:p>
        </w:tc>
        <w:tc>
          <w:tcPr>
            <w:tcW w:w="3091" w:type="dxa"/>
            <w:vAlign w:val="center"/>
          </w:tcPr>
          <w:p>
            <w:r>
              <w:rPr>
                <w:rFonts w:hint="eastAsia"/>
              </w:rPr>
              <w:t xml:space="preserve"> 广告调研的基本内容</w:t>
            </w:r>
          </w:p>
          <w:p>
            <w:r>
              <w:rPr>
                <w:rFonts w:hint="eastAsia"/>
              </w:rPr>
              <w:t xml:space="preserve"> 广告调研的程序</w:t>
            </w:r>
          </w:p>
          <w:p>
            <w:r>
              <w:rPr>
                <w:rFonts w:hint="eastAsia"/>
              </w:rPr>
              <w:t xml:space="preserve"> 广告调研方法与技术</w:t>
            </w:r>
          </w:p>
        </w:tc>
        <w:tc>
          <w:tcPr>
            <w:tcW w:w="2489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1.广告调研程序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2.广告调研方法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广告调研信息和数据处理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广告心理（一）</w:t>
            </w:r>
          </w:p>
        </w:tc>
        <w:tc>
          <w:tcPr>
            <w:tcW w:w="3091" w:type="dxa"/>
            <w:vAlign w:val="center"/>
          </w:tcPr>
          <w:p>
            <w:r>
              <w:rPr>
                <w:rFonts w:hint="eastAsia"/>
              </w:rPr>
              <w:t xml:space="preserve"> 广告与消费行为的关系</w:t>
            </w:r>
          </w:p>
          <w:p>
            <w:r>
              <w:rPr>
                <w:rFonts w:hint="eastAsia"/>
              </w:rPr>
              <w:t xml:space="preserve"> 广告与感觉、知觉</w:t>
            </w:r>
          </w:p>
          <w:p>
            <w:r>
              <w:rPr>
                <w:rFonts w:hint="eastAsia"/>
              </w:rPr>
              <w:t xml:space="preserve"> 广告与注意</w:t>
            </w:r>
          </w:p>
        </w:tc>
        <w:tc>
          <w:tcPr>
            <w:tcW w:w="2489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1.广告心理学的构成方面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2.广告的受众心理机制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1.知觉的选择性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2.注意力经济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广告心理（二）</w:t>
            </w:r>
          </w:p>
        </w:tc>
        <w:tc>
          <w:tcPr>
            <w:tcW w:w="3091" w:type="dxa"/>
            <w:vAlign w:val="center"/>
          </w:tcPr>
          <w:p>
            <w:r>
              <w:rPr>
                <w:rFonts w:hint="eastAsia"/>
              </w:rPr>
              <w:t xml:space="preserve"> 广告与记忆、联想</w:t>
            </w:r>
          </w:p>
          <w:p>
            <w:r>
              <w:rPr>
                <w:rFonts w:hint="eastAsia"/>
              </w:rPr>
              <w:t xml:space="preserve"> 广告与态度</w:t>
            </w:r>
          </w:p>
        </w:tc>
        <w:tc>
          <w:tcPr>
            <w:tcW w:w="2489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1.广告记忆、联想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2.广告与态度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1.广告记忆形成的机制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2.广告改变态度的方式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广告策划程序</w:t>
            </w:r>
          </w:p>
        </w:tc>
        <w:tc>
          <w:tcPr>
            <w:tcW w:w="3091" w:type="dxa"/>
            <w:vAlign w:val="center"/>
          </w:tcPr>
          <w:p>
            <w:r>
              <w:rPr>
                <w:rFonts w:hint="eastAsia"/>
              </w:rPr>
              <w:t xml:space="preserve"> 现代广告策划的含义及特点</w:t>
            </w:r>
          </w:p>
          <w:p>
            <w:r>
              <w:rPr>
                <w:rFonts w:hint="eastAsia"/>
              </w:rPr>
              <w:t xml:space="preserve"> 广告策划的程序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 xml:space="preserve"> 广告目标</w:t>
            </w:r>
          </w:p>
        </w:tc>
        <w:tc>
          <w:tcPr>
            <w:tcW w:w="2489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1.广告策划程序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2.设定广告目标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1.广告策划程序各环节构成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2.广告目标的取舍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广告预算</w:t>
            </w:r>
          </w:p>
        </w:tc>
        <w:tc>
          <w:tcPr>
            <w:tcW w:w="3091" w:type="dxa"/>
            <w:vAlign w:val="center"/>
          </w:tcPr>
          <w:p>
            <w:r>
              <w:rPr>
                <w:rFonts w:hint="eastAsia"/>
              </w:rPr>
              <w:t xml:space="preserve"> 广告计划</w:t>
            </w:r>
          </w:p>
          <w:p>
            <w:r>
              <w:rPr>
                <w:rFonts w:hint="eastAsia"/>
              </w:rPr>
              <w:t xml:space="preserve"> 广告预算</w:t>
            </w:r>
          </w:p>
        </w:tc>
        <w:tc>
          <w:tcPr>
            <w:tcW w:w="2489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1.制定广告计划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2.广告预算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1.广告计划参与者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</w:t>
            </w:r>
            <w:r>
              <w:rPr>
                <w:rFonts w:ascii="宋体" w:hAnsi="宋体" w:eastAsia="宋体"/>
                <w:szCs w:val="21"/>
              </w:rPr>
              <w:t>广告预算的方式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广告主题策划</w:t>
            </w:r>
          </w:p>
        </w:tc>
        <w:tc>
          <w:tcPr>
            <w:tcW w:w="3091" w:type="dxa"/>
            <w:vAlign w:val="center"/>
          </w:tcPr>
          <w:p>
            <w:r>
              <w:rPr>
                <w:rFonts w:hint="eastAsia"/>
              </w:rPr>
              <w:t xml:space="preserve"> 广告主题</w:t>
            </w:r>
          </w:p>
          <w:p>
            <w:r>
              <w:rPr>
                <w:rFonts w:hint="eastAsia"/>
              </w:rPr>
              <w:t xml:space="preserve"> 广告主题策划的基础</w:t>
            </w:r>
          </w:p>
          <w:p>
            <w:r>
              <w:rPr>
                <w:rFonts w:hint="eastAsia"/>
              </w:rPr>
              <w:t xml:space="preserve"> 确定广告主题应注意的问题</w:t>
            </w:r>
          </w:p>
        </w:tc>
        <w:tc>
          <w:tcPr>
            <w:tcW w:w="2489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1.广告主题的类型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2.广告主题策划的过程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1.广告策划主题的确定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2.广告主题策划的问题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广告创意内涵、原理</w:t>
            </w:r>
          </w:p>
        </w:tc>
        <w:tc>
          <w:tcPr>
            <w:tcW w:w="3091" w:type="dxa"/>
            <w:vAlign w:val="center"/>
          </w:tcPr>
          <w:p>
            <w:r>
              <w:rPr>
                <w:rFonts w:hint="eastAsia"/>
              </w:rPr>
              <w:t xml:space="preserve"> 广告创意内涵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 xml:space="preserve"> 广告创意原理</w:t>
            </w:r>
          </w:p>
        </w:tc>
        <w:tc>
          <w:tcPr>
            <w:tcW w:w="2489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1.理解广告创意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2.广告创意原理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1.创意的界定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2.广告创意与一般创意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广告创意过程及方法</w:t>
            </w:r>
          </w:p>
        </w:tc>
        <w:tc>
          <w:tcPr>
            <w:tcW w:w="3091" w:type="dxa"/>
            <w:vAlign w:val="center"/>
          </w:tcPr>
          <w:p>
            <w:r>
              <w:rPr>
                <w:rFonts w:hint="eastAsia"/>
              </w:rPr>
              <w:t xml:space="preserve"> 广告创意的过程</w:t>
            </w:r>
          </w:p>
          <w:p>
            <w:r>
              <w:rPr>
                <w:rFonts w:hint="eastAsia"/>
              </w:rPr>
              <w:t xml:space="preserve"> 广告创意的思考方法</w:t>
            </w:r>
          </w:p>
        </w:tc>
        <w:tc>
          <w:tcPr>
            <w:tcW w:w="2489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1.广告创意过程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2.广告创意思维方式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1.广告创意的来源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2.创新思维方式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广告策略</w:t>
            </w:r>
          </w:p>
        </w:tc>
        <w:tc>
          <w:tcPr>
            <w:tcW w:w="3091" w:type="dxa"/>
            <w:vAlign w:val="center"/>
          </w:tcPr>
          <w:p>
            <w:r>
              <w:rPr>
                <w:rFonts w:hint="eastAsia"/>
              </w:rPr>
              <w:t xml:space="preserve"> USP广告策略</w:t>
            </w:r>
          </w:p>
          <w:p>
            <w:r>
              <w:rPr>
                <w:rFonts w:hint="eastAsia"/>
              </w:rPr>
              <w:t xml:space="preserve"> 品牌形象策略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 xml:space="preserve"> 广告定位策略</w:t>
            </w:r>
          </w:p>
        </w:tc>
        <w:tc>
          <w:tcPr>
            <w:tcW w:w="2489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1.广告策略基础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2.广告策略的类型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1.USP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2.广告定位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广告创作</w:t>
            </w:r>
          </w:p>
        </w:tc>
        <w:tc>
          <w:tcPr>
            <w:tcW w:w="3091" w:type="dxa"/>
            <w:vAlign w:val="center"/>
          </w:tcPr>
          <w:p>
            <w:r>
              <w:rPr>
                <w:rFonts w:hint="eastAsia"/>
              </w:rPr>
              <w:t xml:space="preserve"> 广告创作的基本要求</w:t>
            </w:r>
          </w:p>
          <w:p>
            <w:r>
              <w:rPr>
                <w:rFonts w:hint="eastAsia"/>
              </w:rPr>
              <w:t xml:space="preserve"> 广告文案的创作</w:t>
            </w:r>
          </w:p>
          <w:p>
            <w:r>
              <w:rPr>
                <w:rFonts w:hint="eastAsia"/>
              </w:rPr>
              <w:t xml:space="preserve"> 广告画的创作</w:t>
            </w:r>
          </w:p>
          <w:p>
            <w:r>
              <w:rPr>
                <w:rFonts w:hint="eastAsia"/>
              </w:rPr>
              <w:t xml:space="preserve"> 当代国际广告创作的新特点</w:t>
            </w:r>
          </w:p>
        </w:tc>
        <w:tc>
          <w:tcPr>
            <w:tcW w:w="2489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1.广告文案创作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2.广告艺术设计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1.广告文案的构成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2.广告设计的趋势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13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广告媒体选择</w:t>
            </w:r>
          </w:p>
        </w:tc>
        <w:tc>
          <w:tcPr>
            <w:tcW w:w="3091" w:type="dxa"/>
            <w:vAlign w:val="center"/>
          </w:tcPr>
          <w:p>
            <w:r>
              <w:rPr>
                <w:rFonts w:hint="eastAsia"/>
              </w:rPr>
              <w:t xml:space="preserve"> 广告媒体的含义及功能</w:t>
            </w:r>
          </w:p>
          <w:p>
            <w:r>
              <w:rPr>
                <w:rFonts w:hint="eastAsia"/>
              </w:rPr>
              <w:t xml:space="preserve"> 主要广告媒体的特点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 xml:space="preserve"> 广告媒体的选择</w:t>
            </w:r>
          </w:p>
        </w:tc>
        <w:tc>
          <w:tcPr>
            <w:tcW w:w="2489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1.广告媒体类型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2.广告媒体的特点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3.广告媒体的选择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1.新媒体特点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2.制造商（生产者）与中间商的利益关系和管理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广告效果评估（一</w:t>
            </w:r>
          </w:p>
        </w:tc>
        <w:tc>
          <w:tcPr>
            <w:tcW w:w="3091" w:type="dxa"/>
            <w:vAlign w:val="center"/>
          </w:tcPr>
          <w:p>
            <w:r>
              <w:rPr>
                <w:rFonts w:hint="eastAsia"/>
              </w:rPr>
              <w:t xml:space="preserve"> 广告效果概述</w:t>
            </w:r>
          </w:p>
          <w:p>
            <w:r>
              <w:rPr>
                <w:rFonts w:hint="eastAsia"/>
              </w:rPr>
              <w:t xml:space="preserve"> 广告效果的事前评估</w:t>
            </w:r>
          </w:p>
        </w:tc>
        <w:tc>
          <w:tcPr>
            <w:tcW w:w="2489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1.广告效果界定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2.广告效果事前评估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1.广告效果评估原理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15</w:t>
            </w:r>
          </w:p>
        </w:tc>
        <w:tc>
          <w:tcPr>
            <w:tcW w:w="1871" w:type="dxa"/>
            <w:vAlign w:val="center"/>
          </w:tcPr>
          <w:p>
            <w:r>
              <w:rPr>
                <w:rFonts w:hint="eastAsia"/>
              </w:rPr>
              <w:t>广告效果评估（二</w:t>
            </w:r>
          </w:p>
        </w:tc>
        <w:tc>
          <w:tcPr>
            <w:tcW w:w="3091" w:type="dxa"/>
            <w:vAlign w:val="center"/>
          </w:tcPr>
          <w:p>
            <w:r>
              <w:rPr>
                <w:rFonts w:hint="eastAsia"/>
              </w:rPr>
              <w:t xml:space="preserve"> 广告效果的事中评估</w:t>
            </w:r>
          </w:p>
          <w:p>
            <w:r>
              <w:rPr>
                <w:rFonts w:hint="eastAsia"/>
              </w:rPr>
              <w:t xml:space="preserve"> 广告效果的事后评估</w:t>
            </w:r>
          </w:p>
        </w:tc>
        <w:tc>
          <w:tcPr>
            <w:tcW w:w="2489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1.广告效果事中评估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2.广告效果事后评估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1.广告效果评估的数据分析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16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广告规则与管理</w:t>
            </w:r>
          </w:p>
        </w:tc>
        <w:tc>
          <w:tcPr>
            <w:tcW w:w="3091" w:type="dxa"/>
            <w:vAlign w:val="center"/>
          </w:tcPr>
          <w:p>
            <w:r>
              <w:rPr>
                <w:rFonts w:hint="eastAsia"/>
              </w:rPr>
              <w:t xml:space="preserve"> 广告规则的重要性与基本要求</w:t>
            </w:r>
          </w:p>
          <w:p>
            <w:r>
              <w:rPr>
                <w:rFonts w:hint="eastAsia"/>
              </w:rPr>
              <w:t xml:space="preserve"> 广告法规</w:t>
            </w:r>
          </w:p>
          <w:p>
            <w:r>
              <w:rPr>
                <w:rFonts w:hint="eastAsia"/>
              </w:rPr>
              <w:t xml:space="preserve"> 广告自律</w:t>
            </w:r>
          </w:p>
          <w:p>
            <w:r>
              <w:rPr>
                <w:rFonts w:hint="eastAsia"/>
              </w:rPr>
              <w:t xml:space="preserve"> 广告管理</w:t>
            </w:r>
          </w:p>
        </w:tc>
        <w:tc>
          <w:tcPr>
            <w:tcW w:w="2489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1.广告规则与商业伦理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2.广告法规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3.广告行业管理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1.广告策划的底线思维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2.广告法</w:t>
            </w:r>
          </w:p>
        </w:tc>
      </w:tr>
      <w:bookmarkEnd w:id="5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广告基本知识</w:t>
            </w:r>
          </w:p>
        </w:tc>
        <w:tc>
          <w:tcPr>
            <w:tcW w:w="4111" w:type="dxa"/>
          </w:tcPr>
          <w:p>
            <w:r>
              <w:rPr>
                <w:rFonts w:hint="eastAsia"/>
              </w:rPr>
              <w:t xml:space="preserve"> 广告的内涵与构成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r>
              <w:rPr>
                <w:rFonts w:hint="eastAsia"/>
              </w:rPr>
              <w:t xml:space="preserve"> 广告的功能与类型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r>
              <w:rPr>
                <w:rFonts w:hint="eastAsia"/>
              </w:rPr>
              <w:t xml:space="preserve"> 广告的产生与发展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广告组织</w:t>
            </w:r>
          </w:p>
        </w:tc>
        <w:tc>
          <w:tcPr>
            <w:tcW w:w="4111" w:type="dxa"/>
          </w:tcPr>
          <w:p>
            <w:r>
              <w:rPr>
                <w:rFonts w:hint="eastAsia"/>
              </w:rPr>
              <w:t xml:space="preserve"> 企业广告组织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r>
              <w:rPr>
                <w:rFonts w:hint="eastAsia"/>
              </w:rPr>
              <w:t xml:space="preserve"> 专业广告组织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r>
              <w:rPr>
                <w:rFonts w:hint="eastAsia"/>
              </w:rPr>
              <w:t xml:space="preserve"> 媒体广告组织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r>
              <w:rPr>
                <w:rFonts w:hint="eastAsia"/>
              </w:rPr>
              <w:t xml:space="preserve"> 广告团体组织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广告调研</w:t>
            </w:r>
          </w:p>
        </w:tc>
        <w:tc>
          <w:tcPr>
            <w:tcW w:w="4111" w:type="dxa"/>
            <w:vAlign w:val="center"/>
          </w:tcPr>
          <w:p>
            <w:r>
              <w:rPr>
                <w:rFonts w:hint="eastAsia"/>
              </w:rPr>
              <w:t xml:space="preserve"> 广告调研的基本内容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r>
              <w:rPr>
                <w:rFonts w:hint="eastAsia"/>
              </w:rPr>
              <w:t xml:space="preserve"> 广告调研的程序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 xml:space="preserve"> 广告调研方法与技术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广告心理（一）</w:t>
            </w:r>
          </w:p>
        </w:tc>
        <w:tc>
          <w:tcPr>
            <w:tcW w:w="4111" w:type="dxa"/>
            <w:vAlign w:val="center"/>
          </w:tcPr>
          <w:p>
            <w:r>
              <w:rPr>
                <w:rFonts w:hint="eastAsia"/>
              </w:rPr>
              <w:t xml:space="preserve"> 广告与消费行为的关系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r>
              <w:rPr>
                <w:rFonts w:hint="eastAsia"/>
              </w:rPr>
              <w:t xml:space="preserve"> 广告与感觉、知觉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 xml:space="preserve"> 广告与注意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广告心理（二）</w:t>
            </w:r>
          </w:p>
        </w:tc>
        <w:tc>
          <w:tcPr>
            <w:tcW w:w="4111" w:type="dxa"/>
            <w:vAlign w:val="center"/>
          </w:tcPr>
          <w:p>
            <w:r>
              <w:rPr>
                <w:rFonts w:hint="eastAsia"/>
              </w:rPr>
              <w:t xml:space="preserve"> 广告与记忆、联想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 xml:space="preserve"> 广告与态度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广告策划程序</w:t>
            </w:r>
          </w:p>
        </w:tc>
        <w:tc>
          <w:tcPr>
            <w:tcW w:w="4111" w:type="dxa"/>
            <w:vAlign w:val="center"/>
          </w:tcPr>
          <w:p>
            <w:r>
              <w:rPr>
                <w:rFonts w:hint="eastAsia"/>
              </w:rPr>
              <w:t xml:space="preserve"> 现代广告策划的含义及特点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r>
              <w:rPr>
                <w:rFonts w:hint="eastAsia"/>
              </w:rPr>
              <w:t xml:space="preserve"> 广告策划的程序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 xml:space="preserve"> 广告目标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广告预算</w:t>
            </w:r>
          </w:p>
        </w:tc>
        <w:tc>
          <w:tcPr>
            <w:tcW w:w="4111" w:type="dxa"/>
            <w:vAlign w:val="center"/>
          </w:tcPr>
          <w:p>
            <w:r>
              <w:rPr>
                <w:rFonts w:hint="eastAsia"/>
              </w:rPr>
              <w:t xml:space="preserve"> 广告计划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 xml:space="preserve"> 广告预算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广告主题策划</w:t>
            </w:r>
          </w:p>
        </w:tc>
        <w:tc>
          <w:tcPr>
            <w:tcW w:w="4111" w:type="dxa"/>
            <w:vAlign w:val="center"/>
          </w:tcPr>
          <w:p>
            <w:r>
              <w:rPr>
                <w:rFonts w:hint="eastAsia"/>
              </w:rPr>
              <w:t xml:space="preserve"> 什么是广告主题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r>
              <w:rPr>
                <w:rFonts w:hint="eastAsia"/>
              </w:rPr>
              <w:t xml:space="preserve"> 广告主题策划的基础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 xml:space="preserve"> 确定广告主题应注意的问题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广告创意内涵、原理</w:t>
            </w:r>
          </w:p>
        </w:tc>
        <w:tc>
          <w:tcPr>
            <w:tcW w:w="4111" w:type="dxa"/>
            <w:vAlign w:val="center"/>
          </w:tcPr>
          <w:p>
            <w:r>
              <w:rPr>
                <w:rFonts w:hint="eastAsia"/>
              </w:rPr>
              <w:t xml:space="preserve"> 广告创意内涵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 xml:space="preserve"> 广告创意原理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广告创意过程及方法</w:t>
            </w:r>
          </w:p>
        </w:tc>
        <w:tc>
          <w:tcPr>
            <w:tcW w:w="4111" w:type="dxa"/>
            <w:vAlign w:val="center"/>
          </w:tcPr>
          <w:p>
            <w:r>
              <w:rPr>
                <w:rFonts w:hint="eastAsia"/>
              </w:rPr>
              <w:t xml:space="preserve"> 广告创意的过程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 xml:space="preserve"> 广告创意的思考方法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广告策略</w:t>
            </w:r>
          </w:p>
        </w:tc>
        <w:tc>
          <w:tcPr>
            <w:tcW w:w="4111" w:type="dxa"/>
            <w:vAlign w:val="center"/>
          </w:tcPr>
          <w:p>
            <w:r>
              <w:rPr>
                <w:rFonts w:hint="eastAsia"/>
              </w:rPr>
              <w:t xml:space="preserve"> USP广告策略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r>
              <w:rPr>
                <w:rFonts w:hint="eastAsia"/>
              </w:rPr>
              <w:t xml:space="preserve"> 品牌形象策略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 xml:space="preserve"> 广告定位策略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广告创作</w:t>
            </w:r>
          </w:p>
        </w:tc>
        <w:tc>
          <w:tcPr>
            <w:tcW w:w="4111" w:type="dxa"/>
            <w:vAlign w:val="center"/>
          </w:tcPr>
          <w:p>
            <w:r>
              <w:rPr>
                <w:rFonts w:hint="eastAsia"/>
              </w:rPr>
              <w:t xml:space="preserve"> 广告创作的基本要求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r>
              <w:rPr>
                <w:rFonts w:hint="eastAsia"/>
              </w:rPr>
              <w:t xml:space="preserve"> 广告文案的创作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r>
              <w:rPr>
                <w:rFonts w:hint="eastAsia"/>
              </w:rPr>
              <w:t xml:space="preserve"> 广告画的创作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 xml:space="preserve"> 当代国际广告创作的新特点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广告媒体选择</w:t>
            </w:r>
          </w:p>
        </w:tc>
        <w:tc>
          <w:tcPr>
            <w:tcW w:w="4111" w:type="dxa"/>
            <w:vAlign w:val="center"/>
          </w:tcPr>
          <w:p>
            <w:r>
              <w:rPr>
                <w:rFonts w:hint="eastAsia"/>
              </w:rPr>
              <w:t xml:space="preserve"> 广告媒体的含义及功能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r>
              <w:rPr>
                <w:rFonts w:hint="eastAsia"/>
              </w:rPr>
              <w:t xml:space="preserve"> 主要广告媒体的特点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 xml:space="preserve"> 广告媒体的选择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广告效果评估（一）</w:t>
            </w:r>
          </w:p>
        </w:tc>
        <w:tc>
          <w:tcPr>
            <w:tcW w:w="4111" w:type="dxa"/>
            <w:vAlign w:val="center"/>
          </w:tcPr>
          <w:p>
            <w:r>
              <w:rPr>
                <w:rFonts w:hint="eastAsia"/>
              </w:rPr>
              <w:t xml:space="preserve"> 广告效果概述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 xml:space="preserve"> 广告效果的事前评估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广告效果评估（二）</w:t>
            </w:r>
          </w:p>
        </w:tc>
        <w:tc>
          <w:tcPr>
            <w:tcW w:w="4111" w:type="dxa"/>
            <w:vAlign w:val="center"/>
          </w:tcPr>
          <w:p>
            <w:r>
              <w:rPr>
                <w:rFonts w:hint="eastAsia"/>
              </w:rPr>
              <w:t xml:space="preserve"> 广告效果的事中评估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 xml:space="preserve"> 广告效果的事后评估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广告规则与管理</w:t>
            </w:r>
          </w:p>
        </w:tc>
        <w:tc>
          <w:tcPr>
            <w:tcW w:w="4111" w:type="dxa"/>
            <w:vAlign w:val="center"/>
          </w:tcPr>
          <w:p>
            <w:r>
              <w:rPr>
                <w:rFonts w:hint="eastAsia"/>
              </w:rPr>
              <w:t xml:space="preserve"> 广告规则的重要性与基本要求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</w:pPr>
          </w:p>
        </w:tc>
        <w:tc>
          <w:tcPr>
            <w:tcW w:w="4111" w:type="dxa"/>
            <w:vAlign w:val="center"/>
          </w:tcPr>
          <w:p>
            <w:r>
              <w:rPr>
                <w:rFonts w:hint="eastAsia"/>
              </w:rPr>
              <w:t xml:space="preserve"> 广告法规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</w:pPr>
          </w:p>
        </w:tc>
        <w:tc>
          <w:tcPr>
            <w:tcW w:w="4111" w:type="dxa"/>
            <w:vAlign w:val="center"/>
          </w:tcPr>
          <w:p>
            <w:r>
              <w:rPr>
                <w:rFonts w:hint="eastAsia"/>
              </w:rPr>
              <w:t xml:space="preserve"> 广告自律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</w:pPr>
          </w:p>
        </w:tc>
        <w:tc>
          <w:tcPr>
            <w:tcW w:w="4111" w:type="dxa"/>
            <w:vAlign w:val="center"/>
          </w:tcPr>
          <w:p>
            <w:r>
              <w:rPr>
                <w:rFonts w:hint="eastAsia"/>
              </w:rPr>
              <w:t xml:space="preserve"> 广告管理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8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有关广告策划理论知识和方法的理解和掌握情况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应用广告策划学理论知识和方法解决营销问题的能力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解决广告策划问题时具有创新性思维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9" w:name="_Hlk524877914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5" w:leftChars="-50" w:firstLine="1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有关广告策划前沿问题及相关实践的了解情况</w:t>
            </w:r>
          </w:p>
        </w:tc>
      </w:tr>
      <w:bookmarkEnd w:id="9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10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10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广告策划文案的撰写（纸质）及提案（PPT）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闭卷笔试，包含选择、名词解释、判断、简答、案例分析等题型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52533"/>
    <w:rsid w:val="00054AC6"/>
    <w:rsid w:val="000813AF"/>
    <w:rsid w:val="000A0AFB"/>
    <w:rsid w:val="000D135F"/>
    <w:rsid w:val="000D1E9A"/>
    <w:rsid w:val="000D6848"/>
    <w:rsid w:val="000E1BF6"/>
    <w:rsid w:val="000E2E2E"/>
    <w:rsid w:val="00113B48"/>
    <w:rsid w:val="001316B1"/>
    <w:rsid w:val="00134FF7"/>
    <w:rsid w:val="001471B4"/>
    <w:rsid w:val="0015295D"/>
    <w:rsid w:val="00166174"/>
    <w:rsid w:val="00190C68"/>
    <w:rsid w:val="0019649E"/>
    <w:rsid w:val="00196591"/>
    <w:rsid w:val="001A720E"/>
    <w:rsid w:val="001B370C"/>
    <w:rsid w:val="001B425E"/>
    <w:rsid w:val="001C46E2"/>
    <w:rsid w:val="001D043B"/>
    <w:rsid w:val="001D69AC"/>
    <w:rsid w:val="001E2DA1"/>
    <w:rsid w:val="00200CA7"/>
    <w:rsid w:val="0021083F"/>
    <w:rsid w:val="00213F0A"/>
    <w:rsid w:val="00216BF0"/>
    <w:rsid w:val="0025194F"/>
    <w:rsid w:val="00262B79"/>
    <w:rsid w:val="00287C7B"/>
    <w:rsid w:val="00291B70"/>
    <w:rsid w:val="00296DFF"/>
    <w:rsid w:val="002A717D"/>
    <w:rsid w:val="002B0E5E"/>
    <w:rsid w:val="002D233C"/>
    <w:rsid w:val="002D542F"/>
    <w:rsid w:val="002E0522"/>
    <w:rsid w:val="002F685A"/>
    <w:rsid w:val="003049D9"/>
    <w:rsid w:val="00311078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737FB"/>
    <w:rsid w:val="00383C2C"/>
    <w:rsid w:val="003C4383"/>
    <w:rsid w:val="003C4AF6"/>
    <w:rsid w:val="003D6040"/>
    <w:rsid w:val="003E0CAC"/>
    <w:rsid w:val="003E6EC8"/>
    <w:rsid w:val="003F67C5"/>
    <w:rsid w:val="004028AA"/>
    <w:rsid w:val="00433FCF"/>
    <w:rsid w:val="00455E63"/>
    <w:rsid w:val="00471D9A"/>
    <w:rsid w:val="00495177"/>
    <w:rsid w:val="004B47A0"/>
    <w:rsid w:val="004B7B5C"/>
    <w:rsid w:val="004C23BB"/>
    <w:rsid w:val="004E31F6"/>
    <w:rsid w:val="005146B2"/>
    <w:rsid w:val="00522980"/>
    <w:rsid w:val="00524163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297A"/>
    <w:rsid w:val="005F5AA2"/>
    <w:rsid w:val="00611732"/>
    <w:rsid w:val="0062581F"/>
    <w:rsid w:val="006625D0"/>
    <w:rsid w:val="00670894"/>
    <w:rsid w:val="00673D94"/>
    <w:rsid w:val="006917A8"/>
    <w:rsid w:val="006A496B"/>
    <w:rsid w:val="006B0650"/>
    <w:rsid w:val="006C30F5"/>
    <w:rsid w:val="006D20B4"/>
    <w:rsid w:val="00707982"/>
    <w:rsid w:val="00735181"/>
    <w:rsid w:val="00751139"/>
    <w:rsid w:val="007653E2"/>
    <w:rsid w:val="00792141"/>
    <w:rsid w:val="0079342B"/>
    <w:rsid w:val="007A1CF2"/>
    <w:rsid w:val="007B1D65"/>
    <w:rsid w:val="007B210B"/>
    <w:rsid w:val="007B54A4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550DA"/>
    <w:rsid w:val="00857496"/>
    <w:rsid w:val="00890594"/>
    <w:rsid w:val="008B68A5"/>
    <w:rsid w:val="008C54FB"/>
    <w:rsid w:val="008E4BFB"/>
    <w:rsid w:val="008F3AF5"/>
    <w:rsid w:val="0090431C"/>
    <w:rsid w:val="009108C5"/>
    <w:rsid w:val="00937261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A0157A"/>
    <w:rsid w:val="00A0451E"/>
    <w:rsid w:val="00A26803"/>
    <w:rsid w:val="00A33642"/>
    <w:rsid w:val="00A35C1B"/>
    <w:rsid w:val="00A467F6"/>
    <w:rsid w:val="00A51E40"/>
    <w:rsid w:val="00A546A2"/>
    <w:rsid w:val="00A63A90"/>
    <w:rsid w:val="00A701B0"/>
    <w:rsid w:val="00A8272E"/>
    <w:rsid w:val="00A86CCD"/>
    <w:rsid w:val="00A92254"/>
    <w:rsid w:val="00A94E58"/>
    <w:rsid w:val="00AB1AD7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7F1B"/>
    <w:rsid w:val="00BC1791"/>
    <w:rsid w:val="00BC1D69"/>
    <w:rsid w:val="00BC59C5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753"/>
    <w:rsid w:val="00C71C8F"/>
    <w:rsid w:val="00C9027E"/>
    <w:rsid w:val="00C925EB"/>
    <w:rsid w:val="00CB35E6"/>
    <w:rsid w:val="00CB3F29"/>
    <w:rsid w:val="00CC173A"/>
    <w:rsid w:val="00CD6D95"/>
    <w:rsid w:val="00CE1633"/>
    <w:rsid w:val="00CE7FE0"/>
    <w:rsid w:val="00CF4C8A"/>
    <w:rsid w:val="00D07D36"/>
    <w:rsid w:val="00D10761"/>
    <w:rsid w:val="00D21823"/>
    <w:rsid w:val="00D2653D"/>
    <w:rsid w:val="00D269E3"/>
    <w:rsid w:val="00D272D0"/>
    <w:rsid w:val="00D6628F"/>
    <w:rsid w:val="00D71417"/>
    <w:rsid w:val="00D72D32"/>
    <w:rsid w:val="00DA53B6"/>
    <w:rsid w:val="00DC608D"/>
    <w:rsid w:val="00DF401D"/>
    <w:rsid w:val="00E01950"/>
    <w:rsid w:val="00E0615B"/>
    <w:rsid w:val="00E07880"/>
    <w:rsid w:val="00E16E39"/>
    <w:rsid w:val="00E31DB6"/>
    <w:rsid w:val="00E3541A"/>
    <w:rsid w:val="00E40F3F"/>
    <w:rsid w:val="00E61FC2"/>
    <w:rsid w:val="00E65070"/>
    <w:rsid w:val="00E84B7C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CE64791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1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8"/>
    <w:semiHidden/>
    <w:unhideWhenUsed/>
    <w:uiPriority w:val="99"/>
    <w:pPr>
      <w:jc w:val="left"/>
    </w:p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mphasis"/>
    <w:basedOn w:val="11"/>
    <w:qFormat/>
    <w:uiPriority w:val="20"/>
    <w:rPr>
      <w:i/>
      <w:iCs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11"/>
    <w:link w:val="4"/>
    <w:semiHidden/>
    <w:uiPriority w:val="99"/>
    <w:rPr>
      <w:sz w:val="18"/>
      <w:szCs w:val="18"/>
    </w:rPr>
  </w:style>
  <w:style w:type="character" w:customStyle="1" w:styleId="18">
    <w:name w:val="批注文字 Char"/>
    <w:basedOn w:val="11"/>
    <w:link w:val="3"/>
    <w:semiHidden/>
    <w:qFormat/>
    <w:uiPriority w:val="99"/>
  </w:style>
  <w:style w:type="character" w:customStyle="1" w:styleId="19">
    <w:name w:val="批注主题 Char"/>
    <w:basedOn w:val="18"/>
    <w:link w:val="8"/>
    <w:semiHidden/>
    <w:qFormat/>
    <w:uiPriority w:val="99"/>
    <w:rPr>
      <w:b/>
      <w:bCs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1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2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33CD54-9CA5-4BC7-9F35-B94AC7EC82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558</Words>
  <Characters>3181</Characters>
  <Lines>26</Lines>
  <Paragraphs>7</Paragraphs>
  <TotalTime>0</TotalTime>
  <ScaleCrop>false</ScaleCrop>
  <LinksUpToDate>false</LinksUpToDate>
  <CharactersWithSpaces>3732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Administrator</cp:lastModifiedBy>
  <cp:lastPrinted>2019-03-21T12:39:00Z</cp:lastPrinted>
  <dcterms:modified xsi:type="dcterms:W3CDTF">2019-11-01T01:41:09Z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