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olor w:val="000000" w:themeColor="text1"/>
          <w:sz w:val="30"/>
          <w:szCs w:val="30"/>
        </w:rPr>
      </w:pPr>
      <w:bookmarkStart w:id="0" w:name="_Toc4406545"/>
      <w:bookmarkStart w:id="1" w:name="_Toc2371663"/>
      <w:r>
        <w:rPr>
          <w:rFonts w:ascii="黑体" w:hAnsi="黑体" w:eastAsia="黑体"/>
          <w:color w:val="000000" w:themeColor="text1"/>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color w:val="000000" w:themeColor="text1"/>
                      <w:sz w:val="44"/>
                      <w:szCs w:val="44"/>
                    </w:rPr>
                    <w:t>公司治理本</w:t>
                  </w:r>
                  <w:r>
                    <w:rPr>
                      <w:rFonts w:hint="eastAsia" w:ascii="方正小标宋简体" w:eastAsia="方正小标宋简体"/>
                      <w:sz w:val="44"/>
                      <w:szCs w:val="44"/>
                    </w:rPr>
                    <w:t>科课程教学大纲</w:t>
                  </w:r>
                </w:p>
              </w:txbxContent>
            </v:textbox>
          </v:rect>
        </w:pict>
      </w:r>
    </w:p>
    <w:p>
      <w:pPr>
        <w:jc w:val="left"/>
        <w:outlineLvl w:val="0"/>
        <w:rPr>
          <w:rFonts w:hint="eastAsia" w:ascii="仿宋_GB2312" w:hAnsi="黑体" w:eastAsia="仿宋_GB2312"/>
          <w:color w:val="000000" w:themeColor="text1"/>
          <w:sz w:val="30"/>
          <w:szCs w:val="30"/>
        </w:rPr>
      </w:pPr>
      <w:r>
        <w:rPr>
          <w:rFonts w:hint="eastAsia" w:ascii="仿宋_GB2312" w:hAnsi="黑体" w:eastAsia="仿宋_GB2312"/>
          <w:color w:val="000000" w:themeColor="text1"/>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编制人：曾海洋</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txbxContent>
            </v:textbox>
          </v:rect>
        </w:pict>
      </w:r>
      <w:bookmarkStart w:id="11" w:name="_GoBack"/>
      <w:bookmarkEnd w:id="11"/>
      <w:r>
        <w:rPr>
          <w:rFonts w:hint="eastAsia" w:ascii="仿宋_GB2312" w:hAnsi="黑体" w:eastAsia="仿宋_GB2312"/>
          <w:color w:val="000000" w:themeColor="text1"/>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p>
                <w:p/>
              </w:txbxContent>
            </v:textbox>
          </v:rect>
        </w:pict>
      </w:r>
    </w:p>
    <w:p>
      <w:pPr>
        <w:spacing w:line="360" w:lineRule="auto"/>
        <w:jc w:val="left"/>
        <w:outlineLvl w:val="0"/>
        <w:rPr>
          <w:rFonts w:hint="eastAsia" w:ascii="仿宋_GB2312" w:hAnsi="黑体" w:eastAsia="仿宋_GB2312"/>
          <w:color w:val="000000" w:themeColor="text1"/>
          <w:sz w:val="30"/>
          <w:szCs w:val="30"/>
        </w:rPr>
      </w:pPr>
    </w:p>
    <w:p>
      <w:pPr>
        <w:jc w:val="left"/>
        <w:outlineLvl w:val="0"/>
        <w:rPr>
          <w:rFonts w:ascii="宋体" w:hAnsi="宋体" w:eastAsia="宋体"/>
          <w:bCs/>
          <w:color w:val="000000" w:themeColor="text1"/>
          <w:szCs w:val="21"/>
        </w:rPr>
      </w:pPr>
    </w:p>
    <w:p>
      <w:pPr>
        <w:spacing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一、课程基本信息</w:t>
      </w:r>
      <w:bookmarkEnd w:id="0"/>
      <w:bookmarkEnd w:id="1"/>
    </w:p>
    <w:tbl>
      <w:tblPr>
        <w:tblStyle w:val="11"/>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公司治理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Times New Roman" w:hAnsi="Times New Roman" w:eastAsia="宋体" w:cs="Times New Roman"/>
                <w:color w:val="000000" w:themeColor="text1"/>
                <w:sz w:val="24"/>
                <w:szCs w:val="24"/>
              </w:rPr>
              <w:t>Corporate Governance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s="宋体"/>
                <w:color w:val="000000" w:themeColor="text1"/>
                <w:szCs w:val="21"/>
              </w:rPr>
              <w:t>18319040200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人力资源管理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经济学原理、管理学、财务管理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李维安.公司治理学（第3版）.北京：高等教育额出版社，2016.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1.马克·格尔根著；王世权、杨倩、侯君译. 北京：机械工业出版社，2014.</w:t>
            </w:r>
          </w:p>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2.罗伯特·A.G.蒙克斯，尼尔·米诺.公司治理（第五版）.北京：中国人民大学出版社，2017.</w:t>
            </w:r>
          </w:p>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3.张维迎.产权、激励与公司治理.北京：经济科学出版社，2005.</w:t>
            </w:r>
          </w:p>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4.吴炯.公司治理.北京：北京大学出版社，2014.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蔡锐，孟越南.公司治理学(第2版).北京：北京大学出版社，2017.</w:t>
            </w:r>
          </w:p>
          <w:p>
            <w:pPr>
              <w:adjustRightInd w:val="0"/>
              <w:snapToGrid w:val="0"/>
              <w:spacing w:line="320" w:lineRule="exact"/>
              <w:jc w:val="left"/>
              <w:rPr>
                <w:rFonts w:ascii="宋体" w:hAnsi="宋体" w:eastAsia="宋体"/>
                <w:color w:val="000000" w:themeColor="text1"/>
                <w:sz w:val="24"/>
                <w:szCs w:val="24"/>
              </w:rPr>
            </w:pPr>
          </w:p>
        </w:tc>
      </w:tr>
    </w:tbl>
    <w:p>
      <w:pPr>
        <w:widowControl/>
        <w:spacing w:line="360" w:lineRule="auto"/>
        <w:jc w:val="left"/>
        <w:outlineLvl w:val="0"/>
        <w:rPr>
          <w:rFonts w:ascii="黑体" w:hAnsi="黑体" w:eastAsia="黑体"/>
          <w:color w:val="000000" w:themeColor="text1"/>
          <w:sz w:val="30"/>
          <w:szCs w:val="30"/>
        </w:rPr>
      </w:pPr>
      <w:bookmarkStart w:id="2" w:name="_Toc4406546"/>
      <w:bookmarkStart w:id="3" w:name="_Toc2371664"/>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二、课程目标</w:t>
      </w:r>
      <w:bookmarkEnd w:id="2"/>
      <w:bookmarkEnd w:id="3"/>
    </w:p>
    <w:p>
      <w:pPr>
        <w:spacing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（一）课程具体目标</w:t>
      </w:r>
    </w:p>
    <w:tbl>
      <w:tblPr>
        <w:tblStyle w:val="11"/>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color w:val="000000" w:themeColor="text1"/>
                <w:szCs w:val="21"/>
              </w:rPr>
            </w:pPr>
            <w:r>
              <w:rPr>
                <w:rFonts w:hint="eastAsia" w:ascii="宋体" w:hAnsi="宋体" w:eastAsia="宋体"/>
                <w:b/>
                <w:color w:val="000000" w:themeColor="text1"/>
                <w:szCs w:val="21"/>
              </w:rPr>
              <w:t>序  号</w:t>
            </w:r>
          </w:p>
        </w:tc>
        <w:tc>
          <w:tcPr>
            <w:tcW w:w="8309" w:type="dxa"/>
            <w:tcBorders>
              <w:left w:val="single" w:color="auto" w:sz="4" w:space="0"/>
            </w:tcBorders>
            <w:vAlign w:val="center"/>
          </w:tcPr>
          <w:p>
            <w:pPr>
              <w:jc w:val="center"/>
              <w:rPr>
                <w:rFonts w:ascii="宋体" w:hAnsi="宋体" w:eastAsia="宋体"/>
                <w:b/>
                <w:color w:val="000000" w:themeColor="text1"/>
                <w:szCs w:val="21"/>
              </w:rPr>
            </w:pPr>
            <w:r>
              <w:rPr>
                <w:rFonts w:hint="eastAsia" w:ascii="宋体" w:hAnsi="宋体" w:eastAsia="宋体"/>
                <w:b/>
                <w:color w:val="000000" w:themeColor="text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掌握公司治理的理论基础、职能作用和理论与实践的发展脉络</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具备将公司治理的基本原理和方法应用于公司治理实践的能力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具有以人为本、遵守党的政策和国家法律的意识和能力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了解国内外公司治理的前沿理论和最新实践，提高学术素养和能力</w:t>
            </w:r>
          </w:p>
          <w:p>
            <w:pPr>
              <w:adjustRightInd w:val="0"/>
              <w:snapToGrid w:val="0"/>
              <w:spacing w:line="320" w:lineRule="exact"/>
              <w:jc w:val="left"/>
              <w:rPr>
                <w:rFonts w:ascii="宋体" w:hAnsi="宋体" w:eastAsia="宋体"/>
                <w:color w:val="000000" w:themeColor="text1"/>
                <w:szCs w:val="21"/>
              </w:rPr>
            </w:pPr>
          </w:p>
        </w:tc>
      </w:tr>
    </w:tbl>
    <w:p>
      <w:pPr>
        <w:spacing w:beforeLines="50"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（二）课程目标与毕业要求的关系</w:t>
      </w:r>
    </w:p>
    <w:tbl>
      <w:tblPr>
        <w:tblStyle w:val="11"/>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课程目标</w:t>
            </w:r>
          </w:p>
        </w:tc>
        <w:tc>
          <w:tcPr>
            <w:tcW w:w="2808"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w:t>
            </w:r>
          </w:p>
        </w:tc>
        <w:tc>
          <w:tcPr>
            <w:tcW w:w="5670"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毕业要求1:知识获取能力</w:t>
            </w:r>
          </w:p>
        </w:tc>
        <w:tc>
          <w:tcPr>
            <w:tcW w:w="5670" w:type="dxa"/>
            <w:vAlign w:val="center"/>
          </w:tcPr>
          <w:p>
            <w:pPr>
              <w:pStyle w:val="22"/>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2"/>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2808" w:type="dxa"/>
            <w:vAlign w:val="center"/>
          </w:tcPr>
          <w:p>
            <w:pPr>
              <w:adjustRightInd w:val="0"/>
              <w:snapToGrid w:val="0"/>
              <w:spacing w:line="320" w:lineRule="exact"/>
              <w:jc w:val="left"/>
              <w:rPr>
                <w:color w:val="000000" w:themeColor="text1"/>
                <w:szCs w:val="21"/>
              </w:rPr>
            </w:pPr>
            <w:r>
              <w:rPr>
                <w:rFonts w:hint="eastAsia" w:ascii="宋体" w:hAnsi="宋体" w:eastAsia="宋体"/>
                <w:color w:val="000000" w:themeColor="text1"/>
                <w:szCs w:val="21"/>
              </w:rPr>
              <w:t>毕业要求2:</w:t>
            </w:r>
            <w:r>
              <w:rPr>
                <w:rFonts w:hint="eastAsia"/>
                <w:color w:val="000000" w:themeColor="text1"/>
                <w:szCs w:val="21"/>
              </w:rPr>
              <w:t>知识应用能力</w:t>
            </w:r>
          </w:p>
        </w:tc>
        <w:tc>
          <w:tcPr>
            <w:tcW w:w="5670" w:type="dxa"/>
            <w:vAlign w:val="center"/>
          </w:tcPr>
          <w:p>
            <w:pPr>
              <w:pStyle w:val="22"/>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2.2 具备系统的人力资源管理专业能力结构，具有较强的学习能力、创新能力，能够应用专业理论和方法，系统地分析并解决组织管理的理论与实践问题。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color w:val="000000" w:themeColor="text1"/>
                <w:szCs w:val="21"/>
              </w:rPr>
            </w:pPr>
            <w:r>
              <w:rPr>
                <w:rFonts w:hint="eastAsia" w:ascii="宋体" w:hAnsi="宋体"/>
                <w:color w:val="000000" w:themeColor="text1"/>
                <w:szCs w:val="21"/>
              </w:rPr>
              <w:t>毕业要求3：专业素质</w:t>
            </w:r>
          </w:p>
        </w:tc>
        <w:tc>
          <w:tcPr>
            <w:tcW w:w="5670" w:type="dxa"/>
            <w:vAlign w:val="center"/>
          </w:tcPr>
          <w:p>
            <w:pPr>
              <w:pStyle w:val="22"/>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3</w:t>
            </w:r>
          </w:p>
        </w:tc>
        <w:tc>
          <w:tcPr>
            <w:tcW w:w="2808" w:type="dxa"/>
            <w:vMerge w:val="restart"/>
            <w:vAlign w:val="center"/>
          </w:tcPr>
          <w:p>
            <w:pPr>
              <w:adjustRightInd w:val="0"/>
              <w:snapToGrid w:val="0"/>
              <w:spacing w:line="320" w:lineRule="exact"/>
              <w:jc w:val="left"/>
              <w:rPr>
                <w:color w:val="000000" w:themeColor="text1"/>
                <w:szCs w:val="21"/>
              </w:rPr>
            </w:pPr>
            <w:r>
              <w:rPr>
                <w:rFonts w:hint="eastAsia"/>
                <w:color w:val="000000" w:themeColor="text1"/>
                <w:szCs w:val="21"/>
              </w:rPr>
              <w:t>毕业要求3：思想道德素质</w:t>
            </w:r>
          </w:p>
        </w:tc>
        <w:tc>
          <w:tcPr>
            <w:tcW w:w="5670" w:type="dxa"/>
            <w:vAlign w:val="center"/>
          </w:tcPr>
          <w:p>
            <w:pPr>
              <w:pStyle w:val="22"/>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3.1 具有坚定正确的思想政治方向，树立正确的人生观和价值观；具备健康的身体素质和心理素质。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Merge w:val="continue"/>
            <w:vAlign w:val="center"/>
          </w:tcPr>
          <w:p>
            <w:pPr>
              <w:adjustRightInd w:val="0"/>
              <w:snapToGrid w:val="0"/>
              <w:spacing w:line="320" w:lineRule="exact"/>
              <w:jc w:val="left"/>
              <w:rPr>
                <w:rFonts w:ascii="宋体" w:hAnsi="宋体" w:eastAsia="宋体"/>
                <w:color w:val="000000" w:themeColor="text1"/>
                <w:szCs w:val="21"/>
              </w:rPr>
            </w:pP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4</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毕业要求3：专业素质</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3.2 系统掌握人力资源管理专业的理论、方法及解决管理问题的专业素质。</w:t>
            </w:r>
          </w:p>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bl>
    <w:p>
      <w:pPr>
        <w:widowControl/>
        <w:spacing w:beforeLines="50" w:afterLines="50" w:line="360" w:lineRule="auto"/>
        <w:jc w:val="left"/>
        <w:outlineLvl w:val="0"/>
        <w:rPr>
          <w:rFonts w:ascii="黑体" w:hAnsi="黑体" w:eastAsia="黑体"/>
          <w:color w:val="000000" w:themeColor="text1"/>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三、课程教学要求与重难点</w:t>
      </w:r>
      <w:bookmarkEnd w:id="4"/>
    </w:p>
    <w:tbl>
      <w:tblPr>
        <w:tblStyle w:val="10"/>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28"/>
        <w:gridCol w:w="2513"/>
        <w:gridCol w:w="265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62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251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教学要求</w:t>
            </w:r>
          </w:p>
        </w:tc>
        <w:tc>
          <w:tcPr>
            <w:tcW w:w="2656"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教学重点</w:t>
            </w:r>
          </w:p>
        </w:tc>
        <w:tc>
          <w:tcPr>
            <w:tcW w:w="262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一章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治理学：新兴学科的诞生</w:t>
            </w:r>
          </w:p>
          <w:p>
            <w:pPr>
              <w:adjustRightInd w:val="0"/>
              <w:snapToGrid w:val="0"/>
              <w:spacing w:line="320" w:lineRule="exact"/>
              <w:jc w:val="left"/>
              <w:rPr>
                <w:rFonts w:asciiTheme="minorEastAsia" w:hAnsiTheme="minorEastAsia"/>
                <w:color w:val="000000" w:themeColor="text1"/>
                <w:szCs w:val="21"/>
              </w:rPr>
            </w:pPr>
          </w:p>
        </w:tc>
        <w:tc>
          <w:tcPr>
            <w:tcW w:w="2513" w:type="dxa"/>
            <w:vAlign w:val="center"/>
          </w:tcPr>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1.了解企业制度演进脉络与公司企业制度的特征</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2.明确公司治理理论的发展线索</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3.理解国内外公司治理研究的主题</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4.把握公司治理学的研究对象、内容、学科性质、特点与研究方法</w:t>
            </w:r>
          </w:p>
        </w:tc>
        <w:tc>
          <w:tcPr>
            <w:tcW w:w="2656" w:type="dxa"/>
            <w:vAlign w:val="center"/>
          </w:tcPr>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1.了解企业制度演进脉络与公司企业制度的特征</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2.明确公司治理理论的发展线索</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3.理解国内外公司治理研究的主题</w:t>
            </w:r>
          </w:p>
          <w:p>
            <w:pPr>
              <w:tabs>
                <w:tab w:val="left" w:pos="1680"/>
              </w:tabs>
              <w:adjustRightInd w:val="0"/>
              <w:snapToGrid w:val="0"/>
              <w:spacing w:line="320" w:lineRule="exact"/>
              <w:jc w:val="left"/>
              <w:rPr>
                <w:rFonts w:ascii="宋体" w:hAnsi="宋体" w:eastAsia="宋体"/>
                <w:color w:val="000000" w:themeColor="text1"/>
                <w:szCs w:val="21"/>
              </w:rPr>
            </w:pPr>
          </w:p>
        </w:tc>
        <w:tc>
          <w:tcPr>
            <w:tcW w:w="2629" w:type="dxa"/>
            <w:vAlign w:val="center"/>
          </w:tcPr>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1.明确公司治理理论的发展线索</w:t>
            </w:r>
          </w:p>
          <w:p>
            <w:pPr>
              <w:tabs>
                <w:tab w:val="left" w:pos="1680"/>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2.理解国内外公司治理研究的主题</w:t>
            </w:r>
          </w:p>
          <w:p>
            <w:pPr>
              <w:tabs>
                <w:tab w:val="left" w:pos="1680"/>
              </w:tabs>
              <w:adjustRightInd w:val="0"/>
              <w:snapToGrid w:val="0"/>
              <w:spacing w:line="320" w:lineRule="exact"/>
              <w:jc w:val="left"/>
              <w:rPr>
                <w:rFonts w:asciiTheme="minorEastAsia" w:hAnsi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二章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治理：理论框架与基本问题</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1.了解公司科层与市场契约的关系</w:t>
            </w:r>
          </w:p>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2.掌握公司治理的基本问题</w:t>
            </w:r>
          </w:p>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3.理解专用性资产与公司治理边界的关系，掌握公司边界、公司治理边界的类型和主要内容</w:t>
            </w:r>
          </w:p>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4.熟悉有效公司治理机制的设计原则</w:t>
            </w:r>
          </w:p>
          <w:p>
            <w:pPr>
              <w:adjustRightInd w:val="0"/>
              <w:snapToGrid w:val="0"/>
              <w:spacing w:line="320" w:lineRule="exact"/>
              <w:rPr>
                <w:rFonts w:asciiTheme="minorEastAsia" w:hAnsiTheme="minorEastAsia"/>
                <w:bCs/>
                <w:color w:val="000000" w:themeColor="text1"/>
                <w:szCs w:val="21"/>
              </w:rPr>
            </w:pPr>
            <w:r>
              <w:rPr>
                <w:rFonts w:hint="eastAsia" w:asciiTheme="minorEastAsia" w:hAnsiTheme="minorEastAsia"/>
                <w:bCs/>
                <w:color w:val="000000" w:themeColor="text1"/>
                <w:szCs w:val="21"/>
              </w:rPr>
              <w:t>5.明确公司治理机制与企业竞争力的关系</w:t>
            </w:r>
          </w:p>
        </w:tc>
        <w:tc>
          <w:tcPr>
            <w:tcW w:w="2656" w:type="dxa"/>
            <w:vAlign w:val="center"/>
          </w:tcPr>
          <w:p>
            <w:pPr>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1.了解公司科层与市场契约的关系</w:t>
            </w:r>
          </w:p>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2.掌握公司治理的基本问题</w:t>
            </w:r>
          </w:p>
          <w:p>
            <w:pPr>
              <w:adjustRightInd w:val="0"/>
              <w:snapToGrid w:val="0"/>
              <w:spacing w:line="320" w:lineRule="exact"/>
              <w:rPr>
                <w:rFonts w:ascii="宋体" w:hAnsi="宋体" w:eastAsia="宋体"/>
                <w:color w:val="000000" w:themeColor="text1"/>
                <w:szCs w:val="21"/>
              </w:rPr>
            </w:pPr>
            <w:r>
              <w:rPr>
                <w:rFonts w:hint="eastAsia" w:asciiTheme="minorEastAsia" w:hAnsiTheme="minorEastAsia"/>
                <w:bCs/>
                <w:color w:val="000000" w:themeColor="text1"/>
                <w:szCs w:val="21"/>
              </w:rPr>
              <w:t>3.熟悉有效公司治理机制的设计原则</w:t>
            </w:r>
          </w:p>
        </w:tc>
        <w:tc>
          <w:tcPr>
            <w:tcW w:w="2629" w:type="dxa"/>
            <w:vAlign w:val="center"/>
          </w:tcPr>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1.了解公司科层与市场契约的关系</w:t>
            </w:r>
          </w:p>
          <w:p>
            <w:pPr>
              <w:tabs>
                <w:tab w:val="left" w:pos="312"/>
              </w:tabs>
              <w:adjustRightInd w:val="0"/>
              <w:snapToGrid w:val="0"/>
              <w:spacing w:line="320" w:lineRule="exact"/>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2.理解专用性资产与公司治理边界的关系，掌握公司边界、公司治理边界的类型和主要内容</w:t>
            </w:r>
          </w:p>
          <w:p>
            <w:pPr>
              <w:adjustRightInd w:val="0"/>
              <w:snapToGrid w:val="0"/>
              <w:spacing w:line="320" w:lineRule="exac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三章 股东权益：谁是治理主体</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1.了解股东权益的概念</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2.理解中小股东维护机制</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3.区分普通股权、优先股权、不同股东的权力</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4.明确股东大会的职能</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5.掌握股东利益至上理论和利益相关者理论以及二者的不足</w:t>
            </w:r>
          </w:p>
        </w:tc>
        <w:tc>
          <w:tcPr>
            <w:tcW w:w="2656"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1.了解股东权益的概念</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2.明确股东大会的职能</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3.掌握股东利益至上理论和利益相关者理论以及二者的不足</w:t>
            </w:r>
          </w:p>
        </w:tc>
        <w:tc>
          <w:tcPr>
            <w:tcW w:w="2629" w:type="dxa"/>
            <w:vAlign w:val="center"/>
          </w:tcPr>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1.理解中小股东维护机制</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2.区分普通股权、优先股权、不同股东的权力</w:t>
            </w:r>
          </w:p>
          <w:p>
            <w:pPr>
              <w:adjustRightInd w:val="0"/>
              <w:snapToGrid w:val="0"/>
              <w:spacing w:line="320" w:lineRule="exact"/>
              <w:ind w:left="20"/>
              <w:jc w:val="left"/>
              <w:rPr>
                <w:rFonts w:ascii="宋体" w:hAnsi="宋体" w:eastAsia="宋体"/>
                <w:color w:val="000000" w:themeColor="text1"/>
                <w:szCs w:val="21"/>
              </w:rPr>
            </w:pPr>
            <w:r>
              <w:rPr>
                <w:rFonts w:hint="eastAsia" w:ascii="宋体" w:hAnsi="宋体" w:eastAsia="宋体"/>
                <w:color w:val="000000" w:themeColor="text1"/>
                <w:szCs w:val="21"/>
              </w:rPr>
              <w:t>3.掌握股东利益至上理论和利益相关者理论以及二者的不足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四章 董事会和监事会：设置与运作</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1.了解董事会的结构和职能定位</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2.明晰董事和监事的权利与义务</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3.掌握董事会是如何做出决策及董事会是如何运作的</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4.把握监事会的设置的国别差异以及中国公司治理中监事会的功能定位</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1.了解董事会的结构和职能定位</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2.明晰董事和监事的权利与义务</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3.掌握董事会是如何做出决策及董事会是如何运作的</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4.把握监事会的设置的国别差异以及中国公司治理中监事会的功能定位</w:t>
            </w:r>
          </w:p>
        </w:tc>
        <w:tc>
          <w:tcPr>
            <w:tcW w:w="2629"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1.掌握董事会是如何做出决策及董事会是如何运作的</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2.把握监事会的设置的国别差异以及中国公司治理中监事会的功能定位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五章 独立董事：实质重于形式</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1.了解国内外独立董事制度的发展历程</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2.区分一般独立性和特殊独立性、名义独立性和事实独立性的不同含义</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3.了解不同治理模式下独立董事独立性的差异</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4.以当前中国上市公司为例，分析哪些主要因素制约独立董事发挥应有的作用</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1.区分一般独立性和特殊独立性、名义独立性和事实独立性的不同含义</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2.了解不同治理模式下独立董事独立性的差异</w:t>
            </w:r>
          </w:p>
          <w:p>
            <w:pPr>
              <w:adjustRightInd w:val="0"/>
              <w:snapToGrid w:val="0"/>
              <w:spacing w:line="360" w:lineRule="exact"/>
              <w:rPr>
                <w:rFonts w:ascii="宋体" w:hAnsi="宋体" w:eastAsia="宋体"/>
                <w:color w:val="000000" w:themeColor="text1"/>
                <w:szCs w:val="21"/>
              </w:rPr>
            </w:pPr>
          </w:p>
        </w:tc>
        <w:tc>
          <w:tcPr>
            <w:tcW w:w="2629" w:type="dxa"/>
            <w:vAlign w:val="center"/>
          </w:tcPr>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1.区分一般独立性和特殊独立性、名义独立性和事实独立性的不同含义</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2.以当前中国上市公司为例，分析哪些主要因素制约独立董事发挥应有的作用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六章 高层管理者：激励与约束</w:t>
            </w:r>
          </w:p>
          <w:p>
            <w:pPr>
              <w:adjustRightInd w:val="0"/>
              <w:snapToGrid w:val="0"/>
              <w:spacing w:line="320" w:lineRule="exact"/>
              <w:rPr>
                <w:rFonts w:ascii="宋体" w:hAnsi="宋体" w:eastAsia="宋体"/>
                <w:color w:val="000000" w:themeColor="text1"/>
                <w:szCs w:val="21"/>
              </w:rPr>
            </w:pPr>
          </w:p>
        </w:tc>
        <w:tc>
          <w:tcPr>
            <w:tcW w:w="2513"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1.了解高层管理者激励与约束机制理论的依据、概念和主要内容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2.掌握激励机制与约束机制之间的关系</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3.把握国内高层管理者激励与约束机制的现状与对策</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4.尝试构建高层管理者激励约束长效机制设计的框架</w:t>
            </w:r>
          </w:p>
        </w:tc>
        <w:tc>
          <w:tcPr>
            <w:tcW w:w="2656"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1.了解高层管理者激励与约束机制理论的依据、概念和主要内容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2.掌握激励机制与约束机制之间的关系</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3.把握国内高层管理者激励与约束机制的现状与对策</w:t>
            </w:r>
          </w:p>
          <w:p>
            <w:pPr>
              <w:tabs>
                <w:tab w:val="left" w:pos="312"/>
              </w:tabs>
              <w:adjustRightInd w:val="0"/>
              <w:snapToGrid w:val="0"/>
              <w:spacing w:line="360" w:lineRule="exact"/>
              <w:rPr>
                <w:rFonts w:ascii="宋体" w:hAnsi="宋体" w:eastAsia="宋体"/>
                <w:color w:val="000000" w:themeColor="text1"/>
                <w:szCs w:val="21"/>
              </w:rPr>
            </w:pPr>
          </w:p>
        </w:tc>
        <w:tc>
          <w:tcPr>
            <w:tcW w:w="2629"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1.掌握激励机制与约束机制之间的关系</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2.尝试构建高层管理者激励约束长效机制设计的框架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七章 证券市场与控制权配置：走向成熟</w:t>
            </w:r>
          </w:p>
          <w:p>
            <w:pPr>
              <w:adjustRightInd w:val="0"/>
              <w:snapToGrid w:val="0"/>
              <w:spacing w:line="320" w:lineRule="exact"/>
              <w:rPr>
                <w:rFonts w:ascii="宋体" w:hAnsi="宋体" w:eastAsia="宋体"/>
                <w:color w:val="000000" w:themeColor="text1"/>
                <w:szCs w:val="21"/>
              </w:rPr>
            </w:pPr>
          </w:p>
        </w:tc>
        <w:tc>
          <w:tcPr>
            <w:tcW w:w="2513"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1.了解证券市场与公司治理的关系、证券市场与控制权配置的联系</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2.明确公司并购与公司剥离、证券市场监管、强制性信息披露的基本内容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3.把握我国证券市场外部治理的特点与发展方向</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4.掌握证券市场对上市公司的公司治理发挥作用的基本机制</w:t>
            </w:r>
          </w:p>
          <w:p>
            <w:pPr>
              <w:adjustRightInd w:val="0"/>
              <w:snapToGrid w:val="0"/>
              <w:spacing w:line="360" w:lineRule="exact"/>
              <w:ind w:left="210" w:hanging="210"/>
              <w:rPr>
                <w:rFonts w:ascii="宋体" w:hAnsi="宋体" w:eastAsia="宋体"/>
                <w:color w:val="000000" w:themeColor="text1"/>
                <w:szCs w:val="21"/>
              </w:rPr>
            </w:pPr>
          </w:p>
        </w:tc>
        <w:tc>
          <w:tcPr>
            <w:tcW w:w="2656"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1.了解证券市场与公司治理的关系、证券市场与控制权配置的联系</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2.明确公司并购与公司剥离、证券市场监管、强制性信息披露的基本内容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3.掌握证券市场对上市公司的公司治理发挥作用的基本机制</w:t>
            </w:r>
          </w:p>
          <w:p>
            <w:pPr>
              <w:adjustRightInd w:val="0"/>
              <w:snapToGrid w:val="0"/>
              <w:spacing w:line="360" w:lineRule="exact"/>
              <w:ind w:left="210" w:hanging="210"/>
              <w:rPr>
                <w:rFonts w:ascii="宋体" w:hAnsi="宋体" w:eastAsia="宋体"/>
                <w:color w:val="000000" w:themeColor="text1"/>
                <w:szCs w:val="21"/>
              </w:rPr>
            </w:pPr>
          </w:p>
        </w:tc>
        <w:tc>
          <w:tcPr>
            <w:tcW w:w="2629" w:type="dxa"/>
            <w:vAlign w:val="center"/>
          </w:tcPr>
          <w:p>
            <w:pPr>
              <w:tabs>
                <w:tab w:val="left" w:pos="312"/>
              </w:tabs>
              <w:adjustRightInd w:val="0"/>
              <w:snapToGrid w:val="0"/>
              <w:spacing w:line="360" w:lineRule="exact"/>
              <w:rPr>
                <w:rFonts w:ascii="宋体" w:hAnsi="宋体" w:eastAsia="宋体"/>
                <w:color w:val="000000" w:themeColor="text1"/>
                <w:szCs w:val="21"/>
              </w:rPr>
            </w:pP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1.明确公司并购与公司剥离、证券市场监管、强制性信息披露的基本内容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2.掌握证券市场对上市公司的公司治理发挥作用的基本机制</w:t>
            </w:r>
          </w:p>
          <w:p>
            <w:pPr>
              <w:adjustRightInd w:val="0"/>
              <w:snapToGrid w:val="0"/>
              <w:spacing w:line="360" w:lineRule="exact"/>
              <w:ind w:left="210" w:hanging="21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八章 银行治理：从治理者到被治理者</w:t>
            </w:r>
          </w:p>
          <w:p>
            <w:pPr>
              <w:adjustRightInd w:val="0"/>
              <w:snapToGrid w:val="0"/>
              <w:spacing w:line="320" w:lineRule="exact"/>
              <w:rPr>
                <w:rFonts w:ascii="宋体" w:hAnsi="宋体" w:eastAsia="宋体"/>
                <w:color w:val="000000" w:themeColor="text1"/>
                <w:szCs w:val="21"/>
              </w:rPr>
            </w:pPr>
          </w:p>
        </w:tc>
        <w:tc>
          <w:tcPr>
            <w:tcW w:w="2513"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1.了解商业银行在公司治理中的独特作用及其全球范围内的差异性</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2.理解和把握商业银行公司治理的一般模式和现实特点</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3.结合实际从宏观和微观层面分析商业银行公司治理问题</w:t>
            </w:r>
          </w:p>
        </w:tc>
        <w:tc>
          <w:tcPr>
            <w:tcW w:w="2656"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1.了解商业银行在公司治理中的独特作用及其全球范围内的差异性</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2.理解和把握商业银行公司治理的一般模式和现实特点</w:t>
            </w:r>
          </w:p>
          <w:p>
            <w:pPr>
              <w:tabs>
                <w:tab w:val="left" w:pos="312"/>
              </w:tabs>
              <w:adjustRightInd w:val="0"/>
              <w:snapToGrid w:val="0"/>
              <w:spacing w:line="360" w:lineRule="exact"/>
              <w:rPr>
                <w:rFonts w:ascii="宋体" w:hAnsi="宋体" w:eastAsia="宋体"/>
                <w:color w:val="000000" w:themeColor="text1"/>
                <w:szCs w:val="21"/>
              </w:rPr>
            </w:pPr>
          </w:p>
        </w:tc>
        <w:tc>
          <w:tcPr>
            <w:tcW w:w="2629" w:type="dxa"/>
            <w:vAlign w:val="center"/>
          </w:tcPr>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1.了解商业银行在公司治理中的独特作用及其全球范围内的差异性</w:t>
            </w:r>
          </w:p>
          <w:p>
            <w:pPr>
              <w:tabs>
                <w:tab w:val="left" w:pos="312"/>
              </w:tabs>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2.理解和把握商业银行公司治理的一般模式和现实特点</w:t>
            </w:r>
          </w:p>
          <w:p>
            <w:pPr>
              <w:tabs>
                <w:tab w:val="left" w:pos="312"/>
              </w:tabs>
              <w:adjustRightInd w:val="0"/>
              <w:snapToGrid w:val="0"/>
              <w:spacing w:line="360" w:lineRule="exac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9</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九章 机构投资者治理：从幕后到台前</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1.掌握机构投资者的含义、种类和特点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2.了解机构投资者参与公司治理的发展历程和机理</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3.明确国内机构投资者状况及促使我国机构投资者参与公司治理的途径</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1.掌握机构投资者的含义、种类和特点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2.了解机构投资者参与公司治理的发展历程和机理</w:t>
            </w:r>
          </w:p>
          <w:p>
            <w:pPr>
              <w:adjustRightInd w:val="0"/>
              <w:snapToGrid w:val="0"/>
              <w:spacing w:line="360" w:lineRule="exact"/>
              <w:rPr>
                <w:rFonts w:ascii="宋体" w:hAnsi="宋体" w:eastAsia="宋体"/>
                <w:color w:val="000000" w:themeColor="text1"/>
                <w:szCs w:val="21"/>
              </w:rPr>
            </w:pPr>
          </w:p>
        </w:tc>
        <w:tc>
          <w:tcPr>
            <w:tcW w:w="2629" w:type="dxa"/>
            <w:vAlign w:val="center"/>
          </w:tcPr>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1.了解机构投资者参与公司治理的发展历程和机理</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2.明确国内机构投资者状况及促使我国机构投资者参与公司治理的途径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十章 集团治理：揭开法人的面纱</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1.把握集团治理的本质、特点及主要内容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2.掌握母公司如何既能有效控制子公司又能保持其活力</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3.了解关联公司间如何通过有效合作降低交易成本</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4.熟悉母公司采取滥用交易行为侵害其他利益相关者利益的动机和手段</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5.理解对子公司利益相关者保护的效率分析及相关机制</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1.把握集团治理的本质、特点及主要内容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2.掌握母公司如何既能有效控制子公司又能保持其活力</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3.了解关联公司间如何通过有效合作降低交易成本</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4.熟悉母公司采取滥用交易行为侵害其他利益相关者利益的动机和手段</w:t>
            </w:r>
          </w:p>
          <w:p>
            <w:pPr>
              <w:adjustRightInd w:val="0"/>
              <w:snapToGrid w:val="0"/>
              <w:spacing w:line="360" w:lineRule="exact"/>
              <w:rPr>
                <w:rFonts w:ascii="宋体" w:hAnsi="宋体" w:eastAsia="宋体"/>
                <w:color w:val="000000" w:themeColor="text1"/>
                <w:szCs w:val="21"/>
              </w:rPr>
            </w:pPr>
          </w:p>
        </w:tc>
        <w:tc>
          <w:tcPr>
            <w:tcW w:w="2629" w:type="dxa"/>
            <w:vAlign w:val="center"/>
          </w:tcPr>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1.掌握母公司如何既能有效控制子公司又能保持其活力</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1.了解关联公司间如何通过有效合作降低交易成本</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3.理解对子公司利益相关者保护的效率分析及相关机制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十一章 跨国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治理：文化对接的瓶颈</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1.了解跨国公司治理体系的特点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2.深入理解跨国公司母子公司的治理机制</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3.掌握跨国公司的治理机制及其特点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4.明确跨国公司外部治理对跨国公司行为的影响，以及跨国公司的应对策略</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5.理解中国企业跨国经营的公司治理特殊性，治理难点和展望</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1.了解跨国公司治理体系的特点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2.掌握跨国公司的治理机制及其特点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3.明确跨国公司外部治理对跨国公司行为的影响，以及跨国公司的应对策略</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4.理解中国企业跨国经营的公司治理特殊性，治理难点和展望</w:t>
            </w:r>
          </w:p>
        </w:tc>
        <w:tc>
          <w:tcPr>
            <w:tcW w:w="2629"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1.深入理解跨国公司母子公司的治理机制</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2.掌握跨国公司的治理机制及其特点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3.明确跨国公司外部治理对跨国公司行为的影响，以及跨国公司的应对策略</w:t>
            </w:r>
          </w:p>
          <w:p>
            <w:pPr>
              <w:adjustRightInd w:val="0"/>
              <w:snapToGrid w:val="0"/>
              <w:spacing w:line="360" w:lineRule="exac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12</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十二章 网络治理：</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治理的延伸</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1.了解网络组织的产生背景、网络治理与公司治理的关系</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2.理解网络治理的基本特征、与层级组织治理及市场交易的区别</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3.掌握网络治理的机制体系</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4.了解网络治理宏观机制与微观机制的作用</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5.能够利用相关知识对网络组织的治理现状、问题和对策作出分析。</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1.了解网络组织的产生背景、网络治理与公司治理的关系</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2.理解网络治理的基本特征、与层级组织治理及市场交易的区别</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3.掌握网络治理的机制体系</w:t>
            </w:r>
          </w:p>
          <w:p>
            <w:pPr>
              <w:adjustRightInd w:val="0"/>
              <w:snapToGrid w:val="0"/>
              <w:spacing w:line="360" w:lineRule="exact"/>
              <w:rPr>
                <w:rFonts w:ascii="宋体" w:hAnsi="宋体" w:eastAsia="宋体"/>
                <w:color w:val="000000" w:themeColor="text1"/>
                <w:szCs w:val="21"/>
              </w:rPr>
            </w:pPr>
          </w:p>
        </w:tc>
        <w:tc>
          <w:tcPr>
            <w:tcW w:w="2629"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1.理解网络治理的基本特征、与层级组织治理及市场交易的区别</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2.掌握网络治理的机制体系</w:t>
            </w:r>
          </w:p>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十三章 治理模式：是否趋同</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1.了解全球三种主流的公司治理模式的产生过程、特点和缺陷</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2.掌握公司治理模式趋同的基本方向和主要表现</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3.理解公司治理趋同的内在原因</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1.了解全球三种主流的公司治理模式的产生过程、特点和缺陷</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2.掌握公司治理模式趋同的基本方向和主要表现</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3.理解公司治理趋同的内在原因</w:t>
            </w:r>
          </w:p>
        </w:tc>
        <w:tc>
          <w:tcPr>
            <w:tcW w:w="2629" w:type="dxa"/>
            <w:vAlign w:val="center"/>
          </w:tcPr>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1.掌握公司治理模式趋同的基本方向和主要表现</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2.理解公司治理趋同的内在原因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14</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十四章 转轨经济中的</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治理：路在何方</w:t>
            </w: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1.了解转轨经济条件下“内部人控制”内涵与成因</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2.熟悉“内部人控制”在各个转轨国家的不同的表现</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3.理解解决内部人控制问题的典型做法及其理论依据</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4.科学辨析转轨经济中的若干治理命题</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5.掌握构建适合转轨经济特点的公司治理模式的基本原则</w:t>
            </w:r>
          </w:p>
        </w:tc>
        <w:tc>
          <w:tcPr>
            <w:tcW w:w="2656"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1.了解转轨经济条件下“内部人控制”内涵与成因</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2.熟悉“内部人控制”在各个转轨国家的不同的表现</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3.理解解决内部人控制问题的典型做法及其理论依据</w:t>
            </w:r>
          </w:p>
          <w:p>
            <w:pPr>
              <w:adjustRightInd w:val="0"/>
              <w:snapToGrid w:val="0"/>
              <w:spacing w:line="360" w:lineRule="exact"/>
              <w:rPr>
                <w:rFonts w:ascii="宋体" w:hAnsi="宋体" w:eastAsia="宋体"/>
                <w:color w:val="000000" w:themeColor="text1"/>
                <w:szCs w:val="21"/>
              </w:rPr>
            </w:pPr>
          </w:p>
        </w:tc>
        <w:tc>
          <w:tcPr>
            <w:tcW w:w="2629"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1.理解解决内部人控制问题的典型做法及其理论依据</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2.掌握构建适合转轨经济特点的公司治理模式的基本原则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15</w:t>
            </w:r>
          </w:p>
        </w:tc>
        <w:tc>
          <w:tcPr>
            <w:tcW w:w="1628" w:type="dxa"/>
            <w:vAlign w:val="center"/>
          </w:tcPr>
          <w:p>
            <w:pPr>
              <w:pStyle w:val="8"/>
              <w:widowControl/>
              <w:shd w:val="clear" w:color="auto" w:fill="FFFFFF"/>
              <w:spacing w:before="235" w:beforeAutospacing="0" w:after="235" w:afterAutospacing="0" w:line="21" w:lineRule="atLeast"/>
              <w:rPr>
                <w:rFonts w:ascii="Tahoma" w:hAnsi="Tahoma" w:eastAsia="宋体"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十五章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治理原则与评价：没有规矩何能</w:t>
            </w:r>
            <w:r>
              <w:rPr>
                <w:rFonts w:hint="eastAsia" w:ascii="Tahoma" w:hAnsi="Tahoma" w:eastAsia="宋体" w:cs="Tahoma"/>
                <w:color w:val="000000" w:themeColor="text1"/>
                <w:sz w:val="21"/>
                <w:szCs w:val="21"/>
                <w:shd w:val="clear" w:color="auto" w:fill="FFFFFF"/>
              </w:rPr>
              <w:t>方圆</w:t>
            </w:r>
          </w:p>
          <w:p>
            <w:pPr>
              <w:adjustRightInd w:val="0"/>
              <w:snapToGrid w:val="0"/>
              <w:spacing w:line="320" w:lineRule="exact"/>
              <w:rPr>
                <w:rFonts w:hint="eastAsia" w:ascii="宋体" w:hAnsi="宋体"/>
                <w:color w:val="000000" w:themeColor="text1"/>
                <w:szCs w:val="21"/>
              </w:rPr>
            </w:pPr>
          </w:p>
          <w:p>
            <w:pPr>
              <w:adjustRightInd w:val="0"/>
              <w:snapToGrid w:val="0"/>
              <w:spacing w:line="320" w:lineRule="exact"/>
              <w:rPr>
                <w:rFonts w:ascii="宋体" w:hAnsi="宋体" w:eastAsia="宋体"/>
                <w:color w:val="000000" w:themeColor="text1"/>
                <w:szCs w:val="21"/>
              </w:rPr>
            </w:pPr>
          </w:p>
        </w:tc>
        <w:tc>
          <w:tcPr>
            <w:tcW w:w="2513"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1.了解中国公司治理原则的制定背景及其层级体系</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2.熟悉中国公司治理原则的内容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3.掌握中国上市公司治理评价系统</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4.了解中国上市公司的治理状况</w:t>
            </w:r>
          </w:p>
        </w:tc>
        <w:tc>
          <w:tcPr>
            <w:tcW w:w="2656" w:type="dxa"/>
            <w:vAlign w:val="center"/>
          </w:tcPr>
          <w:p>
            <w:pPr>
              <w:adjustRightInd w:val="0"/>
              <w:snapToGrid w:val="0"/>
              <w:spacing w:line="360" w:lineRule="exact"/>
              <w:rPr>
                <w:rFonts w:ascii="宋体" w:hAnsi="宋体" w:eastAsia="宋体"/>
                <w:color w:val="000000" w:themeColor="text1"/>
                <w:szCs w:val="21"/>
              </w:rPr>
            </w:pP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1.熟悉中国公司治理原则的内容</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2.掌握中国上市公司治理评价系统</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3.了解中国上市公司的治理状况</w:t>
            </w:r>
          </w:p>
        </w:tc>
        <w:tc>
          <w:tcPr>
            <w:tcW w:w="2629"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1.了解中国公司治理原则的制定背景及其层级体系</w:t>
            </w:r>
          </w:p>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2.掌握中国上市公司治理评价系统</w:t>
            </w:r>
          </w:p>
          <w:p>
            <w:pPr>
              <w:adjustRightInd w:val="0"/>
              <w:snapToGrid w:val="0"/>
              <w:spacing w:line="360" w:lineRule="exact"/>
              <w:rPr>
                <w:rFonts w:ascii="宋体" w:hAnsi="宋体" w:eastAsia="宋体"/>
                <w:color w:val="000000" w:themeColor="text1"/>
                <w:szCs w:val="21"/>
              </w:rPr>
            </w:pPr>
          </w:p>
        </w:tc>
      </w:tr>
      <w:bookmarkEnd w:id="5"/>
    </w:tbl>
    <w:p>
      <w:pPr>
        <w:spacing w:beforeLines="100" w:afterLines="50" w:line="360" w:lineRule="auto"/>
        <w:jc w:val="left"/>
        <w:outlineLvl w:val="0"/>
        <w:rPr>
          <w:rFonts w:ascii="黑体" w:hAnsi="黑体" w:eastAsia="黑体"/>
          <w:color w:val="000000" w:themeColor="text1"/>
          <w:sz w:val="30"/>
          <w:szCs w:val="30"/>
        </w:rPr>
      </w:pPr>
      <w:bookmarkStart w:id="7" w:name="_Toc4406548"/>
      <w:r>
        <w:rPr>
          <w:rFonts w:hint="eastAsia" w:ascii="黑体" w:hAnsi="黑体" w:eastAsia="黑体"/>
          <w:color w:val="000000" w:themeColor="text1"/>
          <w:sz w:val="30"/>
          <w:szCs w:val="30"/>
        </w:rPr>
        <w:t>四、课程教学内容、教学方式、学时分配及对课程目标的支撑情况</w:t>
      </w:r>
      <w:bookmarkEnd w:id="7"/>
    </w:p>
    <w:tbl>
      <w:tblPr>
        <w:tblStyle w:val="10"/>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58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411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教学内容</w:t>
            </w:r>
          </w:p>
        </w:tc>
        <w:tc>
          <w:tcPr>
            <w:tcW w:w="170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教学方式</w:t>
            </w:r>
          </w:p>
        </w:tc>
        <w:tc>
          <w:tcPr>
            <w:tcW w:w="7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学时</w:t>
            </w:r>
          </w:p>
        </w:tc>
        <w:tc>
          <w:tcPr>
            <w:tcW w:w="124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w:t>
            </w:r>
          </w:p>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一章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治理学：新兴学科的诞生</w:t>
            </w:r>
          </w:p>
          <w:p>
            <w:pPr>
              <w:adjustRightInd w:val="0"/>
              <w:snapToGrid w:val="0"/>
              <w:spacing w:line="320" w:lineRule="exact"/>
              <w:jc w:val="lef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企业制度的演进与</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治理问题的产生</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二节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治理研究的主题与内涵</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 xml:space="preserve">三节 </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治理学的研究对象、学科性质与研究方法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二章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治理：理论框架与基本问题</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公</w:t>
            </w:r>
            <w:r>
              <w:rPr>
                <w:rFonts w:hint="eastAsia" w:ascii="Tahoma" w:hAnsi="Tahoma" w:eastAsia="宋体" w:cs="Tahoma"/>
                <w:color w:val="000000" w:themeColor="text1"/>
                <w:sz w:val="21"/>
                <w:szCs w:val="21"/>
                <w:shd w:val="clear" w:color="auto" w:fill="FFFFFF"/>
              </w:rPr>
              <w:t>司</w:t>
            </w:r>
            <w:r>
              <w:rPr>
                <w:rFonts w:ascii="Tahoma" w:hAnsi="Tahoma" w:eastAsia="Tahoma" w:cs="Tahoma"/>
                <w:color w:val="000000" w:themeColor="text1"/>
                <w:sz w:val="21"/>
                <w:szCs w:val="21"/>
                <w:shd w:val="clear" w:color="auto" w:fill="FFFFFF"/>
              </w:rPr>
              <w:t>科层契约</w:t>
            </w:r>
            <w:r>
              <w:rPr>
                <w:rFonts w:hint="eastAsia" w:ascii="Tahoma" w:hAnsi="Tahoma" w:eastAsia="宋体" w:cs="Tahoma"/>
                <w:color w:val="000000" w:themeColor="text1"/>
                <w:sz w:val="21"/>
                <w:szCs w:val="21"/>
                <w:shd w:val="clear" w:color="auto" w:fill="FFFFFF"/>
              </w:rPr>
              <w:t>与公司</w:t>
            </w:r>
            <w:r>
              <w:rPr>
                <w:rFonts w:ascii="Tahoma" w:hAnsi="Tahoma" w:eastAsia="Tahoma" w:cs="Tahoma"/>
                <w:color w:val="000000" w:themeColor="text1"/>
                <w:sz w:val="21"/>
                <w:szCs w:val="21"/>
                <w:shd w:val="clear" w:color="auto" w:fill="FFFFFF"/>
              </w:rPr>
              <w:t>治理体系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二节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治理边界及其原理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有效</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治理机制的设计原则和企业竞争力</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三章 股东权益：谁是治理主体</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股东权益及其特征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股东大会及中小股东权益保护</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 xml:space="preserve">三节 </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治理主体的选择</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四章 董事会和监事会：设置与运作</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董事会的设置与运作</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监事会的设置与运作</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五章 独立董事：实质重于形式</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独立董事制度的产生与发展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hint="eastAsia" w:ascii="宋体"/>
                <w:color w:val="000000" w:themeColor="text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独立董事的独立性</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独立董事作用及其决策参与机制的设计</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六章 高层管理者：激励与约束</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高层管理者的激励机制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高层管理者的约束机制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高层管理者激励与约束的长效机制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七章 证券市场与控制权配置：走向成熟</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股票价格、资本市场与控制权配置</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 xml:space="preserve">二节 </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并购与</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剥离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证券市场监管与信息披露</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八章 银行治理：从治理者到被治理者</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商业银行与</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商业银行治理的一般性分析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我国国有商业银行治理及其改进</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9</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九章 机构投资者治理：从幕后到台前</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机构投资者的种类和特点</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机构投资者参与</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治理的机理分析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三节 我国机构投资者：不再沉默</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讲授、课题讨论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十章 集团治理：揭开法人的面纱</w:t>
            </w:r>
          </w:p>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第一</w:t>
            </w:r>
            <w:r>
              <w:rPr>
                <w:rFonts w:ascii="Tahoma" w:hAnsi="Tahoma" w:eastAsia="Tahoma" w:cs="Tahoma"/>
                <w:color w:val="000000" w:themeColor="text1"/>
                <w:szCs w:val="21"/>
                <w:shd w:val="clear" w:color="auto" w:fill="FFFFFF"/>
              </w:rPr>
              <w:t>节 集团治理概述</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二节 母</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的行为：控制、合作与利益转移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三节 保护子</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利益相关者的原则</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十一章 跨国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治理：文化对接的瓶颈</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跨国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治理的内涵和特征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跨国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的内部治理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跨国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的外部治理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四节 中国企业跨国经营中的</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12</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十二章 网络治理：</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治理的延伸</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从传统治理到网络治理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共同治理：网络治理的特征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rPr>
                <w:rFonts w:hint="eastAsia" w:ascii="宋体" w:hAnsi="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三节 治理机制：网络治理的核心</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十三章 治理模式：是否趋同</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节 外部控制主导型</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二节 内部控制主导型</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三节 家族控制主导型</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 xml:space="preserve">四节 </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治理模式的趋同化</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14</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Tahoma"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十四章 转轨经济中的</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治理：路在何方</w:t>
            </w: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 xml:space="preserve">节 </w:t>
            </w:r>
            <w:r>
              <w:rPr>
                <w:rFonts w:hint="eastAsia" w:ascii="Tahoma" w:hAnsi="Tahoma" w:eastAsia="宋体" w:cs="Tahoma"/>
                <w:color w:val="000000" w:themeColor="text1"/>
                <w:sz w:val="21"/>
                <w:szCs w:val="21"/>
                <w:shd w:val="clear" w:color="auto" w:fill="FFFFFF"/>
              </w:rPr>
              <w:t>“</w:t>
            </w:r>
            <w:r>
              <w:rPr>
                <w:rFonts w:ascii="Tahoma" w:hAnsi="Tahoma" w:eastAsia="Tahoma" w:cs="Tahoma"/>
                <w:color w:val="000000" w:themeColor="text1"/>
                <w:sz w:val="21"/>
                <w:szCs w:val="21"/>
                <w:shd w:val="clear" w:color="auto" w:fill="FFFFFF"/>
              </w:rPr>
              <w:t>内部人控制</w:t>
            </w:r>
            <w:r>
              <w:rPr>
                <w:rFonts w:hint="eastAsia" w:ascii="Tahoma" w:hAnsi="Tahoma" w:eastAsia="宋体" w:cs="Tahoma"/>
                <w:color w:val="000000" w:themeColor="text1"/>
                <w:sz w:val="21"/>
                <w:szCs w:val="21"/>
                <w:shd w:val="clear" w:color="auto" w:fill="FFFFFF"/>
              </w:rPr>
              <w:t>”</w:t>
            </w:r>
            <w:r>
              <w:rPr>
                <w:rFonts w:ascii="Tahoma" w:hAnsi="Tahoma" w:eastAsia="Tahoma" w:cs="Tahoma"/>
                <w:color w:val="000000" w:themeColor="text1"/>
                <w:sz w:val="21"/>
                <w:szCs w:val="21"/>
                <w:shd w:val="clear" w:color="auto" w:fill="FFFFFF"/>
              </w:rPr>
              <w:t>：转轨经济中的治理症结</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hint="eastAsia" w:ascii="宋体" w:hAns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ascii="宋体" w:hAnsi="宋体" w:eastAsia="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二节 中国案例：</w:t>
            </w:r>
            <w:r>
              <w:rPr>
                <w:rFonts w:hint="eastAsia" w:ascii="Tahoma" w:hAnsi="Tahoma" w:eastAsia="宋体" w:cs="Tahoma"/>
                <w:color w:val="000000" w:themeColor="text1"/>
                <w:sz w:val="21"/>
                <w:szCs w:val="21"/>
                <w:shd w:val="clear" w:color="auto" w:fill="FFFFFF"/>
              </w:rPr>
              <w:t>“</w:t>
            </w:r>
            <w:r>
              <w:rPr>
                <w:rFonts w:ascii="Tahoma" w:hAnsi="Tahoma" w:eastAsia="Tahoma" w:cs="Tahoma"/>
                <w:color w:val="000000" w:themeColor="text1"/>
                <w:sz w:val="21"/>
                <w:szCs w:val="21"/>
                <w:shd w:val="clear" w:color="auto" w:fill="FFFFFF"/>
              </w:rPr>
              <w:t>内部人控制</w:t>
            </w:r>
            <w:r>
              <w:rPr>
                <w:rFonts w:hint="eastAsia" w:ascii="Tahoma" w:hAnsi="Tahoma" w:eastAsia="宋体" w:cs="Tahoma"/>
                <w:color w:val="000000" w:themeColor="text1"/>
                <w:sz w:val="21"/>
                <w:szCs w:val="21"/>
                <w:shd w:val="clear" w:color="auto" w:fill="FFFFFF"/>
              </w:rPr>
              <w:t>”</w:t>
            </w:r>
            <w:r>
              <w:rPr>
                <w:rFonts w:ascii="Tahoma" w:hAnsi="Tahoma" w:eastAsia="Tahoma" w:cs="Tahoma"/>
                <w:color w:val="000000" w:themeColor="text1"/>
                <w:sz w:val="21"/>
                <w:szCs w:val="21"/>
                <w:shd w:val="clear" w:color="auto" w:fill="FFFFFF"/>
              </w:rPr>
              <w:t>还是</w:t>
            </w:r>
            <w:r>
              <w:rPr>
                <w:rFonts w:hint="eastAsia" w:ascii="Tahoma" w:hAnsi="Tahoma" w:eastAsia="宋体" w:cs="Tahoma"/>
                <w:color w:val="000000" w:themeColor="text1"/>
                <w:sz w:val="21"/>
                <w:szCs w:val="21"/>
                <w:shd w:val="clear" w:color="auto" w:fill="FFFFFF"/>
              </w:rPr>
              <w:t>“行政控制”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三节 路在何方：转轨经济条件下成功治理模式的探讨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15</w:t>
            </w:r>
          </w:p>
        </w:tc>
        <w:tc>
          <w:tcPr>
            <w:tcW w:w="1588" w:type="dxa"/>
            <w:vMerge w:val="restart"/>
            <w:vAlign w:val="center"/>
          </w:tcPr>
          <w:p>
            <w:pPr>
              <w:pStyle w:val="8"/>
              <w:widowControl/>
              <w:shd w:val="clear" w:color="auto" w:fill="FFFFFF"/>
              <w:spacing w:before="235" w:beforeAutospacing="0" w:after="235" w:afterAutospacing="0" w:line="21" w:lineRule="atLeast"/>
              <w:rPr>
                <w:rFonts w:ascii="Tahoma" w:hAnsi="Tahoma" w:eastAsia="宋体" w:cs="Tahoma"/>
                <w:color w:val="000000" w:themeColor="text1"/>
                <w:sz w:val="2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 xml:space="preserve">十五章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治理原则与评价：没有规矩何能</w:t>
            </w:r>
            <w:r>
              <w:rPr>
                <w:rFonts w:hint="eastAsia" w:ascii="Tahoma" w:hAnsi="Tahoma" w:eastAsia="宋体" w:cs="Tahoma"/>
                <w:color w:val="000000" w:themeColor="text1"/>
                <w:sz w:val="21"/>
                <w:szCs w:val="21"/>
                <w:shd w:val="clear" w:color="auto" w:fill="FFFFFF"/>
              </w:rPr>
              <w:t>方圆</w:t>
            </w:r>
          </w:p>
          <w:p>
            <w:pPr>
              <w:adjustRightInd w:val="0"/>
              <w:snapToGrid w:val="0"/>
              <w:spacing w:line="320" w:lineRule="exact"/>
              <w:rPr>
                <w:rFonts w:hint="eastAsia" w:ascii="宋体" w:hAnsi="宋体"/>
                <w:color w:val="000000" w:themeColor="text1"/>
                <w:szCs w:val="21"/>
              </w:rPr>
            </w:pPr>
          </w:p>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hint="eastAsia" w:ascii="宋体" w:hAnsi="宋体"/>
                <w:color w:val="000000" w:themeColor="text1"/>
                <w:szCs w:val="21"/>
              </w:rPr>
            </w:pPr>
            <w:r>
              <w:rPr>
                <w:rFonts w:hint="eastAsia" w:ascii="Tahoma" w:hAnsi="Tahoma" w:eastAsia="宋体" w:cs="Tahoma"/>
                <w:color w:val="000000" w:themeColor="text1"/>
                <w:sz w:val="21"/>
                <w:szCs w:val="21"/>
                <w:shd w:val="clear" w:color="auto" w:fill="FFFFFF"/>
              </w:rPr>
              <w:t>第一</w:t>
            </w:r>
            <w:r>
              <w:rPr>
                <w:rFonts w:ascii="Tahoma" w:hAnsi="Tahoma" w:eastAsia="Tahoma" w:cs="Tahoma"/>
                <w:color w:val="000000" w:themeColor="text1"/>
                <w:sz w:val="21"/>
                <w:szCs w:val="21"/>
                <w:shd w:val="clear" w:color="auto" w:fill="FFFFFF"/>
              </w:rPr>
              <w:t xml:space="preserve">节 </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治理原则：治理实务的指引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Tahoma" w:hAnsi="Tahoma" w:eastAsia="宋体" w:cs="Tahoma"/>
                <w:color w:val="000000" w:themeColor="text1"/>
                <w:szCs w:val="21"/>
                <w:shd w:val="clear" w:color="auto" w:fill="FFFFFF"/>
              </w:rPr>
              <w:t>第</w:t>
            </w:r>
            <w:r>
              <w:rPr>
                <w:rFonts w:ascii="Tahoma" w:hAnsi="Tahoma" w:eastAsia="Tahoma" w:cs="Tahoma"/>
                <w:color w:val="000000" w:themeColor="text1"/>
                <w:szCs w:val="21"/>
                <w:shd w:val="clear" w:color="auto" w:fill="FFFFFF"/>
              </w:rPr>
              <w:t xml:space="preserve">二节 </w:t>
            </w:r>
            <w:r>
              <w:rPr>
                <w:rFonts w:hint="eastAsia" w:ascii="Tahoma" w:hAnsi="Tahoma" w:eastAsia="宋体" w:cs="Tahoma"/>
                <w:color w:val="000000" w:themeColor="text1"/>
                <w:szCs w:val="21"/>
                <w:shd w:val="clear" w:color="auto" w:fill="FFFFFF"/>
              </w:rPr>
              <w:t>公司</w:t>
            </w:r>
            <w:r>
              <w:rPr>
                <w:rFonts w:ascii="Tahoma" w:hAnsi="Tahoma" w:eastAsia="Tahoma" w:cs="Tahoma"/>
                <w:color w:val="000000" w:themeColor="text1"/>
                <w:szCs w:val="21"/>
                <w:shd w:val="clear" w:color="auto" w:fill="FFFFFF"/>
              </w:rPr>
              <w:t>治理评价：治理实践的呼唤</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pStyle w:val="8"/>
              <w:widowControl/>
              <w:shd w:val="clear" w:color="auto" w:fill="FFFFFF"/>
              <w:spacing w:before="235" w:beforeAutospacing="0" w:after="235" w:afterAutospacing="0" w:line="21" w:lineRule="atLeast"/>
              <w:rPr>
                <w:rFonts w:hint="eastAsia" w:ascii="宋体" w:hAnsi="宋体"/>
                <w:color w:val="000000" w:themeColor="text1"/>
                <w:szCs w:val="21"/>
              </w:rPr>
            </w:pPr>
            <w:r>
              <w:rPr>
                <w:rFonts w:hint="eastAsia" w:ascii="Tahoma" w:hAnsi="Tahoma" w:eastAsia="宋体" w:cs="Tahoma"/>
                <w:color w:val="000000" w:themeColor="text1"/>
                <w:sz w:val="21"/>
                <w:szCs w:val="21"/>
                <w:shd w:val="clear" w:color="auto" w:fill="FFFFFF"/>
              </w:rPr>
              <w:t>第</w:t>
            </w:r>
            <w:r>
              <w:rPr>
                <w:rFonts w:ascii="Tahoma" w:hAnsi="Tahoma" w:eastAsia="Tahoma" w:cs="Tahoma"/>
                <w:color w:val="000000" w:themeColor="text1"/>
                <w:sz w:val="21"/>
                <w:szCs w:val="21"/>
                <w:shd w:val="clear" w:color="auto" w:fill="FFFFFF"/>
              </w:rPr>
              <w:t>三节 中国</w:t>
            </w:r>
            <w:r>
              <w:rPr>
                <w:rFonts w:hint="eastAsia" w:ascii="Tahoma" w:hAnsi="Tahoma" w:eastAsia="宋体" w:cs="Tahoma"/>
                <w:color w:val="000000" w:themeColor="text1"/>
                <w:sz w:val="21"/>
                <w:szCs w:val="21"/>
                <w:shd w:val="clear" w:color="auto" w:fill="FFFFFF"/>
              </w:rPr>
              <w:t>公司</w:t>
            </w:r>
            <w:r>
              <w:rPr>
                <w:rFonts w:ascii="Tahoma" w:hAnsi="Tahoma" w:eastAsia="Tahoma" w:cs="Tahoma"/>
                <w:color w:val="000000" w:themeColor="text1"/>
                <w:sz w:val="21"/>
                <w:szCs w:val="21"/>
                <w:shd w:val="clear" w:color="auto" w:fill="FFFFFF"/>
              </w:rPr>
              <w:t>治理评价原则与方法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课程目标1、2</w:t>
            </w:r>
          </w:p>
        </w:tc>
      </w:tr>
    </w:tbl>
    <w:p>
      <w:pPr>
        <w:spacing w:beforeLines="100" w:afterLines="50" w:line="360" w:lineRule="auto"/>
        <w:jc w:val="left"/>
        <w:outlineLvl w:val="0"/>
        <w:rPr>
          <w:rFonts w:hint="eastAsia" w:ascii="黑体" w:hAnsi="黑体"/>
          <w:color w:val="000000" w:themeColor="text1"/>
          <w:sz w:val="30"/>
          <w:szCs w:val="30"/>
        </w:rPr>
      </w:pPr>
      <w:bookmarkStart w:id="8" w:name="_Toc4406549"/>
    </w:p>
    <w:p>
      <w:pPr>
        <w:spacing w:beforeLines="100"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五、课程目标与考核内容</w:t>
      </w:r>
      <w:bookmarkEnd w:id="8"/>
    </w:p>
    <w:tbl>
      <w:tblPr>
        <w:tblStyle w:val="10"/>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考核对公司治理的理论基础、职能作用和理论与实践的发展脉络的掌握程度</w:t>
            </w:r>
          </w:p>
          <w:p>
            <w:pPr>
              <w:adjustRightInd w:val="0"/>
              <w:snapToGrid w:val="0"/>
              <w:spacing w:line="320" w:lineRule="exact"/>
              <w:jc w:val="lef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具备将公司治理的基本原理和方法应用于公司治理实践的能力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具有以人为本、遵守党的政策和国家法律的意识和能力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9" w:name="_Hlk524877914"/>
            <w:r>
              <w:rPr>
                <w:rFonts w:hint="eastAsia" w:ascii="宋体" w:hAnsi="宋体" w:eastAsia="宋体" w:cs="宋体"/>
                <w:color w:val="000000" w:themeColor="text1"/>
                <w:kern w:val="0"/>
                <w:szCs w:val="21"/>
              </w:rPr>
              <w:t>课程目标4</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了解国内外公司治理的前沿理论和最新实践，提高学术素养和能力</w:t>
            </w:r>
          </w:p>
          <w:p>
            <w:pPr>
              <w:adjustRightInd w:val="0"/>
              <w:snapToGrid w:val="0"/>
              <w:spacing w:line="320" w:lineRule="exact"/>
              <w:jc w:val="left"/>
              <w:rPr>
                <w:rFonts w:ascii="宋体" w:hAnsi="宋体" w:eastAsia="宋体" w:cs="宋体"/>
                <w:bCs/>
                <w:color w:val="000000" w:themeColor="text1"/>
                <w:szCs w:val="21"/>
              </w:rPr>
            </w:pPr>
          </w:p>
        </w:tc>
      </w:tr>
      <w:bookmarkEnd w:id="9"/>
    </w:tbl>
    <w:p>
      <w:pPr>
        <w:spacing w:beforeLines="100" w:afterLines="50" w:line="360" w:lineRule="auto"/>
        <w:jc w:val="left"/>
        <w:outlineLvl w:val="0"/>
        <w:rPr>
          <w:rFonts w:ascii="黑体" w:hAnsi="黑体" w:eastAsia="黑体"/>
          <w:color w:val="000000" w:themeColor="text1"/>
          <w:sz w:val="30"/>
          <w:szCs w:val="30"/>
        </w:rPr>
      </w:pPr>
      <w:bookmarkStart w:id="10" w:name="_Toc4406550"/>
      <w:r>
        <w:rPr>
          <w:rFonts w:hint="eastAsia" w:ascii="黑体" w:hAnsi="黑体" w:eastAsia="黑体"/>
          <w:color w:val="000000" w:themeColor="text1"/>
          <w:sz w:val="30"/>
          <w:szCs w:val="30"/>
        </w:rPr>
        <w:t>六、考核方式与评价细则</w:t>
      </w:r>
      <w:bookmarkEnd w:id="10"/>
    </w:p>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jc w:val="lef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期末</w:t>
            </w:r>
            <w:r>
              <w:rPr>
                <w:rFonts w:hint="eastAsia" w:ascii="Times New Roman" w:hAnsi="Times New Roman" w:eastAsia="宋体" w:cs="Times New Roman"/>
                <w:color w:val="000000" w:themeColor="text1"/>
                <w:szCs w:val="21"/>
              </w:rPr>
              <w:t>考核</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采用期末课程考试的方式考核。通过期末考试考核学生对公司治理的掌握程度，以及运用公司治理的理论知识去分析问题和解决公司治理实践中的相关问题，并考核其基本的学术素养和商业伦理与法制水平。</w:t>
            </w:r>
          </w:p>
        </w:tc>
      </w:tr>
      <w:bookmarkEnd w:id="6"/>
    </w:tbl>
    <w:p>
      <w:pPr>
        <w:jc w:val="left"/>
        <w:outlineLvl w:val="0"/>
        <w:rPr>
          <w:rFonts w:ascii="宋体" w:hAnsi="宋体" w:eastAsia="宋体"/>
          <w:color w:val="000000" w:themeColor="text1"/>
          <w:szCs w:val="21"/>
        </w:rPr>
      </w:pPr>
    </w:p>
    <w:p>
      <w:pPr>
        <w:pStyle w:val="8"/>
        <w:widowControl/>
        <w:shd w:val="clear" w:color="auto" w:fill="FFFFFF"/>
        <w:spacing w:before="235" w:beforeAutospacing="0" w:after="235" w:afterAutospacing="0" w:line="21" w:lineRule="atLeast"/>
        <w:rPr>
          <w:rFonts w:ascii="Tahoma" w:hAnsi="Tahoma" w:eastAsia="宋体" w:cs="Tahoma"/>
          <w:color w:val="000000" w:themeColor="text1"/>
          <w:sz w:val="21"/>
          <w:szCs w:val="21"/>
          <w:shd w:val="clear" w:color="auto" w:fill="FFFFFF"/>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456"/>
    <w:rsid w:val="00052533"/>
    <w:rsid w:val="00054AC6"/>
    <w:rsid w:val="000D6848"/>
    <w:rsid w:val="000E2E2E"/>
    <w:rsid w:val="00113B48"/>
    <w:rsid w:val="00134FF7"/>
    <w:rsid w:val="001471B4"/>
    <w:rsid w:val="0015295D"/>
    <w:rsid w:val="00166174"/>
    <w:rsid w:val="00172A27"/>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19E6"/>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DF6069"/>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666"/>
    <w:rsid w:val="00FF5B65"/>
    <w:rsid w:val="013D2024"/>
    <w:rsid w:val="01650A1D"/>
    <w:rsid w:val="02031D32"/>
    <w:rsid w:val="023D6E86"/>
    <w:rsid w:val="029B3CB9"/>
    <w:rsid w:val="02A7153F"/>
    <w:rsid w:val="032D5FB2"/>
    <w:rsid w:val="05195D4F"/>
    <w:rsid w:val="05904E9B"/>
    <w:rsid w:val="05B8227A"/>
    <w:rsid w:val="06A403E0"/>
    <w:rsid w:val="06D70690"/>
    <w:rsid w:val="07550F28"/>
    <w:rsid w:val="07D83DE2"/>
    <w:rsid w:val="07FD4262"/>
    <w:rsid w:val="089949E0"/>
    <w:rsid w:val="08BB7863"/>
    <w:rsid w:val="08C046FB"/>
    <w:rsid w:val="08D913E6"/>
    <w:rsid w:val="08DD6998"/>
    <w:rsid w:val="09615BFD"/>
    <w:rsid w:val="096D5ACA"/>
    <w:rsid w:val="0AE15CC0"/>
    <w:rsid w:val="0B095C4A"/>
    <w:rsid w:val="0BD940A2"/>
    <w:rsid w:val="0DAC62BF"/>
    <w:rsid w:val="0DEE4C61"/>
    <w:rsid w:val="0E855321"/>
    <w:rsid w:val="0E951557"/>
    <w:rsid w:val="0EF62763"/>
    <w:rsid w:val="0F0B703F"/>
    <w:rsid w:val="0FFF33EB"/>
    <w:rsid w:val="1149492A"/>
    <w:rsid w:val="1158399C"/>
    <w:rsid w:val="11B33868"/>
    <w:rsid w:val="125B0B95"/>
    <w:rsid w:val="12EF2769"/>
    <w:rsid w:val="13637C7A"/>
    <w:rsid w:val="14AD037D"/>
    <w:rsid w:val="156C1A99"/>
    <w:rsid w:val="16A122DA"/>
    <w:rsid w:val="17660CA4"/>
    <w:rsid w:val="177F4089"/>
    <w:rsid w:val="194E43DF"/>
    <w:rsid w:val="1A5750A4"/>
    <w:rsid w:val="1A86587C"/>
    <w:rsid w:val="1AD231F8"/>
    <w:rsid w:val="1B0C6CA8"/>
    <w:rsid w:val="1B7C43A1"/>
    <w:rsid w:val="1D855533"/>
    <w:rsid w:val="1EA31048"/>
    <w:rsid w:val="1EB16949"/>
    <w:rsid w:val="1F1F3DAD"/>
    <w:rsid w:val="1F4339E6"/>
    <w:rsid w:val="1F623514"/>
    <w:rsid w:val="20C21853"/>
    <w:rsid w:val="20CD75DC"/>
    <w:rsid w:val="216B3D03"/>
    <w:rsid w:val="225A4896"/>
    <w:rsid w:val="22D55212"/>
    <w:rsid w:val="235210BF"/>
    <w:rsid w:val="239D63F1"/>
    <w:rsid w:val="239F4F74"/>
    <w:rsid w:val="25A03791"/>
    <w:rsid w:val="2662396C"/>
    <w:rsid w:val="271648C4"/>
    <w:rsid w:val="271A1A5B"/>
    <w:rsid w:val="27BF1744"/>
    <w:rsid w:val="27FF52ED"/>
    <w:rsid w:val="2818228E"/>
    <w:rsid w:val="28D218E9"/>
    <w:rsid w:val="297405C2"/>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2F9576BE"/>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2478D0"/>
    <w:rsid w:val="66E47422"/>
    <w:rsid w:val="670E220E"/>
    <w:rsid w:val="680619B5"/>
    <w:rsid w:val="68202612"/>
    <w:rsid w:val="684075C1"/>
    <w:rsid w:val="685507C6"/>
    <w:rsid w:val="6932650C"/>
    <w:rsid w:val="69897DD0"/>
    <w:rsid w:val="699C5BA9"/>
    <w:rsid w:val="69D17944"/>
    <w:rsid w:val="69F0329A"/>
    <w:rsid w:val="6B914408"/>
    <w:rsid w:val="6BB7417C"/>
    <w:rsid w:val="6C344E82"/>
    <w:rsid w:val="6D587BDA"/>
    <w:rsid w:val="6D68736B"/>
    <w:rsid w:val="70AF092F"/>
    <w:rsid w:val="72133094"/>
    <w:rsid w:val="72177393"/>
    <w:rsid w:val="722A37C9"/>
    <w:rsid w:val="72360152"/>
    <w:rsid w:val="723854D8"/>
    <w:rsid w:val="72432402"/>
    <w:rsid w:val="72921C93"/>
    <w:rsid w:val="732A502D"/>
    <w:rsid w:val="73886D9F"/>
    <w:rsid w:val="73B14045"/>
    <w:rsid w:val="746A7AB4"/>
    <w:rsid w:val="751303C2"/>
    <w:rsid w:val="75501D93"/>
    <w:rsid w:val="76175655"/>
    <w:rsid w:val="764E2749"/>
    <w:rsid w:val="76797A4B"/>
    <w:rsid w:val="77315EF9"/>
    <w:rsid w:val="779F65CE"/>
    <w:rsid w:val="798E1F8F"/>
    <w:rsid w:val="79C75543"/>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eastAsia="宋体"/>
      <w:sz w:val="18"/>
      <w:szCs w:val="18"/>
    </w:r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3"/>
    <w:next w:val="3"/>
    <w:link w:val="19"/>
    <w:semiHidden/>
    <w:unhideWhenUsed/>
    <w:qFormat/>
    <w:uiPriority w:val="99"/>
    <w:rPr>
      <w:b/>
      <w:bCs/>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character" w:customStyle="1" w:styleId="17">
    <w:name w:val="批注框文本 Char"/>
    <w:basedOn w:val="12"/>
    <w:link w:val="4"/>
    <w:semiHidden/>
    <w:qFormat/>
    <w:uiPriority w:val="99"/>
    <w:rPr>
      <w:sz w:val="18"/>
      <w:szCs w:val="18"/>
    </w:rPr>
  </w:style>
  <w:style w:type="character" w:customStyle="1" w:styleId="18">
    <w:name w:val="批注文字 Char"/>
    <w:basedOn w:val="12"/>
    <w:link w:val="3"/>
    <w:semiHidden/>
    <w:qFormat/>
    <w:uiPriority w:val="99"/>
  </w:style>
  <w:style w:type="character" w:customStyle="1" w:styleId="19">
    <w:name w:val="批注主题 Char"/>
    <w:basedOn w:val="18"/>
    <w:link w:val="9"/>
    <w:semiHidden/>
    <w:qFormat/>
    <w:uiPriority w:val="99"/>
    <w:rPr>
      <w:b/>
      <w:bCs/>
    </w:rPr>
  </w:style>
  <w:style w:type="paragraph" w:styleId="20">
    <w:name w:val="List Paragraph"/>
    <w:basedOn w:val="1"/>
    <w:qFormat/>
    <w:uiPriority w:val="34"/>
    <w:pPr>
      <w:ind w:firstLine="420" w:firstLineChars="200"/>
    </w:pPr>
    <w:rPr>
      <w:rFonts w:ascii="Calibri" w:hAnsi="Calibri" w:eastAsia="宋体" w:cs="Times New Roman"/>
    </w:rPr>
  </w:style>
  <w:style w:type="character" w:customStyle="1" w:styleId="21">
    <w:name w:val="文档结构图 Char"/>
    <w:basedOn w:val="12"/>
    <w:link w:val="2"/>
    <w:semiHidden/>
    <w:qFormat/>
    <w:uiPriority w:val="99"/>
    <w:rPr>
      <w:rFonts w:ascii="宋体" w:eastAsia="宋体"/>
      <w:sz w:val="18"/>
      <w:szCs w:val="18"/>
    </w:rPr>
  </w:style>
  <w:style w:type="paragraph" w:customStyle="1" w:styleId="22">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6186</Words>
  <Characters>1113</Characters>
  <Lines>9</Lines>
  <Paragraphs>14</Paragraphs>
  <TotalTime>1</TotalTime>
  <ScaleCrop>false</ScaleCrop>
  <LinksUpToDate>false</LinksUpToDate>
  <CharactersWithSpaces>7285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2019-12-06T08:08:46Z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