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B" w:rsidRDefault="007D492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rect id="_x0000_s1026" style="position:absolute;left:0;text-align:left;margin-left:236.1pt;margin-top:29.25pt;width:216.6pt;height:66.6pt;z-index:251688960;v-text-anchor:middle" o:gfxdata="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66EjWAAAACgEAAA8AAAAAAAAAAQAgAAAAIgAAAGRycy9kb3du&#10;cmV2LnhtbFBLAQIUABQAAAAIAIdO4kCrv476jwEAAAADAAAOAAAAAAAAAAEAIAAAACUBAABkcnMv&#10;ZTJvRG9jLnhtbFBLBQYAAAAABgAGAFkBAAAmBQAAAAA=&#10;" filled="f" stroked="f">
            <v:textbox>
              <w:txbxContent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编制人：张敏、许京婕</w:t>
                  </w:r>
                </w:p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proofErr w:type="gramStart"/>
                  <w:r w:rsidR="005C407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  <w:proofErr w:type="gramEnd"/>
                </w:p>
                <w:p w:rsidR="00105F86" w:rsidRDefault="00105F86"/>
              </w:txbxContent>
            </v:textbox>
          </v:rect>
        </w:pict>
      </w:r>
      <w:r>
        <w:rPr>
          <w:rFonts w:ascii="方正小标宋简体" w:eastAsia="方正小标宋简体"/>
          <w:noProof/>
          <w:sz w:val="44"/>
          <w:szCs w:val="44"/>
        </w:rPr>
        <w:pict>
          <v:rect id="_x0000_s1027" style="position:absolute;left:0;text-align:left;margin-left:2.85pt;margin-top:28.65pt;width:229.8pt;height:66.6pt;z-index:251672576;v-text-anchor:middle" o:gfxdata="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S2Atx0wAAAAgBAAAPAAAAAAAAAAEAIAAAACIAAABkcnMvZG93bnJldi54&#10;bWxQSwECFAAUAAAACACHTuJAVqEtZ40BAAAAAwAADgAAAAAAAAABACAAAAAiAQAAZHJzL2Uyb0Rv&#10;Yy54bWxQSwUGAAAAAAYABgBZAQAAIQUAAAAA&#10;" filled="f" stroked="f">
            <v:textbox>
              <w:txbxContent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5C407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编制时间：2019.</w:t>
                  </w:r>
                  <w:r w:rsidR="005C407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.</w:t>
                  </w:r>
                  <w:r w:rsidR="005C407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:rsidR="00105F86" w:rsidRDefault="00105F86"/>
              </w:txbxContent>
            </v:textbox>
          </v:rect>
        </w:pict>
      </w:r>
      <w:r w:rsidR="00CC4FC2">
        <w:rPr>
          <w:rFonts w:ascii="方正小标宋简体" w:eastAsia="方正小标宋简体" w:hint="eastAsia"/>
          <w:sz w:val="44"/>
          <w:szCs w:val="44"/>
        </w:rPr>
        <w:t>会计综合模拟实验课程教学大纲</w:t>
      </w:r>
    </w:p>
    <w:p w:rsidR="007875DB" w:rsidRDefault="007875DB">
      <w:pPr>
        <w:jc w:val="center"/>
        <w:rPr>
          <w:rFonts w:ascii="方正小标宋简体" w:eastAsia="方正小标宋简体"/>
          <w:sz w:val="44"/>
          <w:szCs w:val="44"/>
        </w:rPr>
      </w:pPr>
    </w:p>
    <w:p w:rsidR="007875DB" w:rsidRDefault="007875DB">
      <w:pPr>
        <w:jc w:val="center"/>
        <w:rPr>
          <w:rFonts w:ascii="方正小标宋简体" w:eastAsia="方正小标宋简体"/>
          <w:sz w:val="44"/>
          <w:szCs w:val="44"/>
        </w:rPr>
      </w:pPr>
    </w:p>
    <w:p w:rsidR="007875DB" w:rsidRDefault="00CC4FC2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</w:p>
    <w:tbl>
      <w:tblPr>
        <w:tblStyle w:val="a3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7875DB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会计综合模拟实验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1CF">
              <w:rPr>
                <w:rFonts w:ascii="Times New Roman" w:eastAsia="宋体" w:hAnsi="Times New Roman" w:cs="Times New Roman"/>
                <w:sz w:val="24"/>
                <w:szCs w:val="24"/>
              </w:rPr>
              <w:t>Comprehensive simulation experiment of accounting</w:t>
            </w:r>
            <w:r w:rsidR="00CC4F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Pr="00EE11CF" w:rsidRDefault="004A24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专业</w:t>
            </w:r>
            <w:r w:rsidR="00EE11CF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选修课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704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1F6B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经济学</w:t>
            </w:r>
            <w:r w:rsidR="0071505B">
              <w:rPr>
                <w:rFonts w:ascii="Times New Roman" w:eastAsia="宋体" w:hAnsi="宋体" w:cs="Times New Roman" w:hint="eastAsia"/>
                <w:sz w:val="24"/>
                <w:szCs w:val="24"/>
              </w:rPr>
              <w:t>、经济（闽台）</w:t>
            </w:r>
            <w:bookmarkStart w:id="0" w:name="_GoBack"/>
            <w:bookmarkEnd w:id="0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75DB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7875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</w:t>
            </w:r>
            <w:r w:rsidR="006E4D10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</w:t>
            </w:r>
            <w:r w:rsidR="00DE35D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基础会计实验教程</w:t>
            </w:r>
          </w:p>
          <w:p w:rsidR="004A2446" w:rsidRPr="00DE35D6" w:rsidRDefault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、《会计模拟综合实验》课程上机实验资料（自编）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、李帅，</w:t>
            </w: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毛华扬</w:t>
            </w:r>
            <w:proofErr w:type="gramEnd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编著，会计电算化原理与实务——基于金蝶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KIS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，中国人民大学出版社</w:t>
            </w:r>
          </w:p>
          <w:p w:rsidR="007875DB" w:rsidRDefault="00CC4FC2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、杨怀宏、焦争昌，《会计学原理》，中国财政经济出版社</w:t>
            </w:r>
          </w:p>
          <w:p w:rsidR="007875DB" w:rsidRDefault="00CC4F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、财政部会计资格评价中心，《初级会计实务》，中国财政经济出版社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A2446" w:rsidRPr="004A2446" w:rsidRDefault="004A2446" w:rsidP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</w:t>
            </w:r>
            <w:r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</w:t>
            </w:r>
            <w:r w:rsidR="006E4D10"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《基础会计实验教程》，华中科技大学出版社</w:t>
            </w:r>
          </w:p>
          <w:p w:rsidR="004A2446" w:rsidRDefault="004A2446" w:rsidP="004A24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、《会计模拟综合实验》课程上机实验资料（自编）</w:t>
            </w:r>
          </w:p>
        </w:tc>
      </w:tr>
    </w:tbl>
    <w:p w:rsidR="007875DB" w:rsidRDefault="00CC4FC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" w:name="_Toc2371664"/>
      <w:bookmarkStart w:id="2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1"/>
      <w:bookmarkEnd w:id="2"/>
    </w:p>
    <w:p w:rsidR="007875DB" w:rsidRDefault="00CC4FC2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3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了解会计工作中的期初工作，包括开设会计账户，登记期初余额；掌握原始凭证和记账凭证的填制与审核；能够根据记账凭证画</w:t>
            </w:r>
            <w:r>
              <w:rPr>
                <w:rFonts w:hint="eastAsia"/>
                <w:bCs/>
                <w:szCs w:val="21"/>
              </w:rPr>
              <w:t>T</w:t>
            </w:r>
            <w:r>
              <w:rPr>
                <w:rFonts w:hint="eastAsia"/>
                <w:bCs/>
                <w:szCs w:val="21"/>
              </w:rPr>
              <w:t>形帐</w:t>
            </w:r>
            <w:r w:rsidR="00D301CA">
              <w:rPr>
                <w:rFonts w:hint="eastAsia"/>
                <w:bCs/>
                <w:szCs w:val="21"/>
              </w:rPr>
              <w:t>，初步对会计活动的过程有一个整体性认识。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能够根据记账凭证填制登记明细账以及日记账；掌握根据</w:t>
            </w:r>
            <w:r>
              <w:rPr>
                <w:rFonts w:hint="eastAsia"/>
                <w:bCs/>
                <w:szCs w:val="21"/>
              </w:rPr>
              <w:t>T</w:t>
            </w:r>
            <w:proofErr w:type="gramStart"/>
            <w:r>
              <w:rPr>
                <w:rFonts w:hint="eastAsia"/>
                <w:bCs/>
                <w:szCs w:val="21"/>
              </w:rPr>
              <w:t>形</w:t>
            </w:r>
            <w:r w:rsidR="00087320">
              <w:rPr>
                <w:rFonts w:hint="eastAsia"/>
                <w:bCs/>
                <w:szCs w:val="21"/>
              </w:rPr>
              <w:t>账</w:t>
            </w:r>
            <w:r>
              <w:rPr>
                <w:rFonts w:hint="eastAsia"/>
                <w:bCs/>
                <w:szCs w:val="21"/>
              </w:rPr>
              <w:t>登记</w:t>
            </w:r>
            <w:proofErr w:type="gramEnd"/>
            <w:r>
              <w:rPr>
                <w:rFonts w:hint="eastAsia"/>
                <w:bCs/>
                <w:szCs w:val="21"/>
              </w:rPr>
              <w:t>科目汇总表的方法；能够根据科目汇总表登记总账。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能够根据总账编制试算平衡表；熟练根据总账编制会计报表；能够</w:t>
            </w:r>
            <w:r w:rsidR="00C369E2">
              <w:rPr>
                <w:rFonts w:hint="eastAsia"/>
                <w:bCs/>
                <w:szCs w:val="21"/>
              </w:rPr>
              <w:t>根据对整个会计活动的过程和认识</w:t>
            </w:r>
            <w:r>
              <w:rPr>
                <w:rFonts w:hint="eastAsia"/>
                <w:bCs/>
                <w:szCs w:val="21"/>
              </w:rPr>
              <w:t>填写编制会计实验报告。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F7215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掌握会计电算化的基本原理，熟悉财务软件的基本操作流程，能够</w:t>
            </w:r>
            <w:r w:rsidRPr="00F72157">
              <w:rPr>
                <w:rFonts w:ascii="宋体" w:eastAsia="宋体" w:hAnsi="宋体" w:hint="eastAsia"/>
                <w:szCs w:val="21"/>
              </w:rPr>
              <w:t>利用现代技术独立地、系统地进行会计软件的使用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F7215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能够独立</w:t>
            </w:r>
            <w:r w:rsidR="00087320">
              <w:rPr>
                <w:rFonts w:ascii="宋体" w:eastAsia="宋体" w:hAnsi="宋体" w:hint="eastAsia"/>
                <w:szCs w:val="21"/>
              </w:rPr>
              <w:t>地</w:t>
            </w:r>
            <w:r>
              <w:rPr>
                <w:rFonts w:ascii="宋体" w:eastAsia="宋体" w:hAnsi="宋体" w:hint="eastAsia"/>
                <w:szCs w:val="21"/>
              </w:rPr>
              <w:t>处理具体会计事务的能力和创新意识，培养认真细致、一丝不苟的工作作风和理论联系实践的学习方法。</w:t>
            </w:r>
          </w:p>
        </w:tc>
      </w:tr>
    </w:tbl>
    <w:p w:rsidR="007875DB" w:rsidRDefault="00CC4FC2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3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7875DB">
        <w:trPr>
          <w:trHeight w:val="454"/>
          <w:jc w:val="center"/>
        </w:trPr>
        <w:tc>
          <w:tcPr>
            <w:tcW w:w="1509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1F6BDB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1F6BDB" w:rsidRDefault="001F6B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1F6BDB" w:rsidRDefault="001F6BD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专业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F6BDB" w:rsidRDefault="001F6BDB">
            <w:pPr>
              <w:spacing w:line="30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牢固掌握经济学基本知识、基础理论和基本应用技能；掌握经济运行规律和经济指标的内在联系；理解经济学理论的内涵、发展演进、学派差异及争论重点。</w:t>
            </w:r>
          </w:p>
          <w:p w:rsidR="001F6BDB" w:rsidRPr="001F6BDB" w:rsidRDefault="001F6BD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F6BDB">
              <w:rPr>
                <w:rFonts w:ascii="宋体" w:eastAsia="宋体" w:hAnsi="宋体" w:hint="eastAsia"/>
                <w:szCs w:val="21"/>
              </w:rPr>
              <w:t>2.3 熟悉财务金融领域的相关知识，了解财务金融方面的方针、政策、法规以及金融运行的国际惯例和规则。</w:t>
            </w:r>
          </w:p>
        </w:tc>
      </w:tr>
      <w:tr w:rsidR="001F6BDB" w:rsidTr="001F6BDB">
        <w:trPr>
          <w:trHeight w:val="798"/>
          <w:jc w:val="center"/>
        </w:trPr>
        <w:tc>
          <w:tcPr>
            <w:tcW w:w="1509" w:type="dxa"/>
            <w:vMerge/>
            <w:vAlign w:val="center"/>
          </w:tcPr>
          <w:p w:rsidR="001F6BDB" w:rsidRDefault="001F6B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F6BDB" w:rsidRDefault="001F6BD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1F6BDB" w:rsidRPr="001F6BDB" w:rsidRDefault="001F6BDB">
            <w:pPr>
              <w:spacing w:line="300" w:lineRule="exact"/>
            </w:pPr>
            <w:r w:rsidRPr="001F6BDB">
              <w:rPr>
                <w:rFonts w:hint="eastAsia"/>
              </w:rPr>
              <w:t xml:space="preserve">3.2 </w:t>
            </w:r>
            <w:r w:rsidRPr="001F6BDB">
              <w:rPr>
                <w:rFonts w:hint="eastAsia"/>
              </w:rPr>
              <w:t>具有自主学习、独立思考、不断接受新知识、新理论、新技术的能力。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3" w:name="_Hlk14250854"/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1F6BDB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Times New Roman"/>
              </w:rPr>
              <w:t xml:space="preserve"> </w:t>
            </w:r>
            <w:r w:rsidR="001F6BDB">
              <w:rPr>
                <w:rFonts w:ascii="Times New Roman" w:hint="eastAsia"/>
              </w:rPr>
              <w:t>专业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F6BDB" w:rsidRDefault="001F6BDB" w:rsidP="001F6BDB">
            <w:pPr>
              <w:spacing w:line="30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牢固掌握经济学基本知识、基础理论和基本应用技能；掌握经济运行规律和经济指标的内在联系；理解经济学理论的内涵、发展演进、学派差异及争论重点。</w:t>
            </w:r>
          </w:p>
          <w:p w:rsidR="007875DB" w:rsidRDefault="001F6BDB" w:rsidP="001F6BD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F6BDB">
              <w:rPr>
                <w:rFonts w:ascii="宋体" w:eastAsia="宋体" w:hAnsi="宋体" w:hint="eastAsia"/>
                <w:szCs w:val="21"/>
              </w:rPr>
              <w:t>2.3 熟悉财务金融领域的相关知识，了解财务金融方面的方针、政策、法规以及金融运行的国际惯例和规则。</w:t>
            </w:r>
          </w:p>
        </w:tc>
      </w:tr>
      <w:bookmarkEnd w:id="3"/>
      <w:tr w:rsidR="007875DB" w:rsidTr="001F6BDB">
        <w:trPr>
          <w:trHeight w:val="746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7875DB" w:rsidRPr="001F6BDB" w:rsidRDefault="001F6BD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F6BDB">
              <w:rPr>
                <w:rFonts w:cstheme="minorBidi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1F6BDB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1F6BDB">
              <w:rPr>
                <w:rFonts w:ascii="宋体" w:eastAsia="宋体" w:hAnsi="宋体" w:hint="eastAsia"/>
                <w:szCs w:val="21"/>
              </w:rPr>
              <w:t>专业</w:t>
            </w:r>
            <w:r>
              <w:rPr>
                <w:rFonts w:ascii="宋体" w:eastAsia="宋体" w:hAnsi="宋体"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7875DB" w:rsidRPr="007F2CA7" w:rsidRDefault="007F2CA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7F2CA7">
              <w:rPr>
                <w:rFonts w:ascii="宋体" w:eastAsia="宋体" w:hAnsi="宋体" w:hint="eastAsia"/>
                <w:szCs w:val="21"/>
              </w:rPr>
              <w:t>2.3 熟悉财务金融领域的相关知识，了解财务金融方面的方针、政策、法规以及金融运行的国际惯例和规则。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7F2CA7" w:rsidRPr="007F2CA7" w:rsidRDefault="007F2CA7" w:rsidP="007F2CA7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  <w:p w:rsidR="007875DB" w:rsidRDefault="007F2CA7" w:rsidP="007F2CA7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3.4 具有利用创造性思维开展科学研究和创业就业的能力。</w:t>
            </w:r>
          </w:p>
        </w:tc>
      </w:tr>
      <w:tr w:rsidR="00D713F2" w:rsidTr="00105F86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713F2" w:rsidRDefault="00D713F2" w:rsidP="00D713F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</w:tcPr>
          <w:p w:rsidR="00D713F2" w:rsidRPr="007E61F8" w:rsidRDefault="00D713F2" w:rsidP="00D713F2">
            <w:r w:rsidRPr="007E61F8">
              <w:rPr>
                <w:rFonts w:hint="eastAsia"/>
              </w:rPr>
              <w:t>毕业要求</w:t>
            </w:r>
            <w:r w:rsidRPr="007E61F8">
              <w:rPr>
                <w:rFonts w:hint="eastAsia"/>
              </w:rPr>
              <w:t xml:space="preserve">1: </w:t>
            </w:r>
            <w:r w:rsidR="007F2CA7">
              <w:rPr>
                <w:rFonts w:hint="eastAsia"/>
              </w:rPr>
              <w:t>工具性</w:t>
            </w:r>
            <w:r w:rsidRPr="007E61F8">
              <w:rPr>
                <w:rFonts w:hint="eastAsia"/>
              </w:rPr>
              <w:t>知识要求</w:t>
            </w:r>
          </w:p>
        </w:tc>
        <w:tc>
          <w:tcPr>
            <w:tcW w:w="5670" w:type="dxa"/>
          </w:tcPr>
          <w:p w:rsidR="00D713F2" w:rsidRPr="007F2CA7" w:rsidRDefault="007F2CA7" w:rsidP="00D713F2">
            <w:r w:rsidRPr="007F2CA7">
              <w:rPr>
                <w:rFonts w:hint="eastAsia"/>
              </w:rPr>
              <w:t xml:space="preserve">1.3 </w:t>
            </w:r>
            <w:r w:rsidRPr="007F2CA7">
              <w:rPr>
                <w:rFonts w:hint="eastAsia"/>
              </w:rPr>
              <w:t>熟练掌握计算机和现代信息技术，能够运用现代信息技术和数据库进行文献检索、数据处理、模型设计、研究分析和论文写作。</w:t>
            </w:r>
          </w:p>
        </w:tc>
      </w:tr>
      <w:tr w:rsidR="007F2CA7" w:rsidTr="00A70C7C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F2CA7" w:rsidRDefault="007F2CA7" w:rsidP="007F2CA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</w:tcPr>
          <w:p w:rsidR="007F2CA7" w:rsidRPr="009306AC" w:rsidRDefault="007F2CA7" w:rsidP="007F2CA7">
            <w:r w:rsidRPr="009306AC">
              <w:rPr>
                <w:rFonts w:hint="eastAsia"/>
              </w:rPr>
              <w:t>毕业要求</w:t>
            </w:r>
            <w:r>
              <w:rPr>
                <w:rFonts w:hint="eastAsia"/>
              </w:rPr>
              <w:t>2</w:t>
            </w:r>
            <w:r w:rsidRPr="009306AC">
              <w:rPr>
                <w:rFonts w:hint="eastAsia"/>
              </w:rPr>
              <w:t>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7F2CA7" w:rsidRDefault="007F2CA7" w:rsidP="007F2CA7">
            <w:pPr>
              <w:spacing w:line="30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牢固掌握经济学基本知识、基础理论和基本应用技能；掌握经济运行规律和经济指标的内在联系；理解经济学理论的内涵、发展演进、学派差异及争论重点。</w:t>
            </w:r>
          </w:p>
          <w:p w:rsidR="007F2CA7" w:rsidRDefault="007F2CA7" w:rsidP="007F2CA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F6BDB">
              <w:rPr>
                <w:rFonts w:ascii="宋体" w:eastAsia="宋体" w:hAnsi="宋体" w:hint="eastAsia"/>
                <w:szCs w:val="21"/>
              </w:rPr>
              <w:t>2.3 熟悉财务金融领域的相关知识，了解财务金融方面的方针、政策、法规以及金融运行的国际惯例和规则。</w:t>
            </w:r>
          </w:p>
        </w:tc>
      </w:tr>
      <w:tr w:rsidR="00D713F2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713F2" w:rsidRDefault="00D713F2" w:rsidP="00D713F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D713F2" w:rsidRDefault="00D713F2" w:rsidP="00D713F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7F2CA7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7F2CA7">
              <w:rPr>
                <w:rFonts w:ascii="宋体" w:eastAsia="宋体" w:hAnsi="宋体" w:hint="eastAsia"/>
                <w:szCs w:val="21"/>
              </w:rPr>
              <w:t>能力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7F2CA7" w:rsidRPr="007F2CA7" w:rsidRDefault="007F2CA7" w:rsidP="00B7715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3.2 具有自主学习、独立思考、不断接受新知识、新理论、新技术的能力。</w:t>
            </w:r>
          </w:p>
          <w:p w:rsidR="007F2CA7" w:rsidRPr="007F2CA7" w:rsidRDefault="007F2CA7" w:rsidP="00B7715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  <w:p w:rsidR="00D713F2" w:rsidRDefault="007F2CA7" w:rsidP="007F2CA7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3.4 具有利用创造性思维开展科学研究和创业就业的能力。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D713F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7F2CA7"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="007F2CA7">
              <w:rPr>
                <w:rFonts w:ascii="宋体" w:eastAsia="宋体" w:hAnsi="宋体" w:hint="eastAsia"/>
                <w:szCs w:val="21"/>
              </w:rPr>
              <w:t>素质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7875DB" w:rsidRPr="007F2CA7" w:rsidRDefault="007F2CA7" w:rsidP="00D713F2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7F2CA7">
              <w:rPr>
                <w:rFonts w:cstheme="minorBidi" w:hint="eastAsia"/>
                <w:sz w:val="21"/>
                <w:szCs w:val="21"/>
              </w:rPr>
              <w:t>4.2 具有完整的知识结构和良好的科学素养、人文素养，持续的创新精神、创业意识。</w:t>
            </w:r>
          </w:p>
        </w:tc>
      </w:tr>
    </w:tbl>
    <w:p w:rsidR="007875DB" w:rsidRDefault="00CC4FC2" w:rsidP="005C4071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71"/>
        <w:gridCol w:w="2798"/>
        <w:gridCol w:w="2625"/>
        <w:gridCol w:w="2432"/>
      </w:tblGrid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9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62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432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开设会计账户，登记期初余额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原始凭证的填制和审核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记账凭证的填制和审核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2625" w:type="dxa"/>
            <w:vAlign w:val="center"/>
          </w:tcPr>
          <w:p w:rsidR="007875DB" w:rsidRDefault="006E4D1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审核原始凭证</w:t>
            </w:r>
            <w:r w:rsidR="00CC4FC2"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</w:t>
            </w:r>
            <w:r w:rsidR="006E4D10">
              <w:rPr>
                <w:rFonts w:ascii="宋体" w:eastAsia="宋体" w:hAnsi="宋体" w:hint="eastAsia"/>
                <w:szCs w:val="21"/>
              </w:rPr>
              <w:t>要求和</w:t>
            </w:r>
            <w:r>
              <w:rPr>
                <w:rFonts w:ascii="宋体" w:eastAsia="宋体" w:hAnsi="宋体" w:hint="eastAsia"/>
                <w:szCs w:val="21"/>
              </w:rPr>
              <w:t>方法；</w:t>
            </w:r>
          </w:p>
          <w:p w:rsidR="007875DB" w:rsidRDefault="006E4D10">
            <w:pPr>
              <w:spacing w:line="300" w:lineRule="exact"/>
              <w:rPr>
                <w:sz w:val="24"/>
              </w:rPr>
            </w:pPr>
            <w:r>
              <w:rPr>
                <w:rFonts w:ascii="宋体" w:eastAsia="宋体" w:hAnsi="宋体" w:hint="eastAsia"/>
                <w:szCs w:val="21"/>
              </w:rPr>
              <w:t>审核记账凭证</w:t>
            </w:r>
            <w:r w:rsidR="00CC4FC2"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2432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记账凭证的编制要求；</w:t>
            </w:r>
          </w:p>
          <w:p w:rsidR="007875DB" w:rsidRDefault="00CC4FC2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记账凭证的编制方法</w:t>
            </w:r>
            <w:r w:rsidR="00C1565F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E851D3" w:rsidRDefault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根据记账凭证登记现金和银行存款日记账；</w:t>
            </w:r>
          </w:p>
          <w:p w:rsidR="007875DB" w:rsidRDefault="00CC4FC2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根据记账凭证登记明细账，并结出各类明细分类账的期末余额</w:t>
            </w:r>
            <w:r w:rsidR="00C1565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25" w:type="dxa"/>
            <w:vAlign w:val="center"/>
          </w:tcPr>
          <w:p w:rsidR="00E851D3" w:rsidRDefault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日记账的登记方法；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明细账</w:t>
            </w:r>
            <w:r w:rsidR="00C1565F">
              <w:rPr>
                <w:rFonts w:ascii="宋体" w:eastAsia="宋体" w:hAnsi="宋体" w:hint="eastAsia"/>
                <w:szCs w:val="21"/>
              </w:rPr>
              <w:t>的登记方法</w:t>
            </w:r>
            <w:r w:rsidR="00E851D3">
              <w:rPr>
                <w:rFonts w:ascii="宋体" w:eastAsia="宋体" w:hAnsi="宋体" w:hint="eastAsia"/>
                <w:szCs w:val="21"/>
              </w:rPr>
              <w:t>。</w:t>
            </w:r>
          </w:p>
          <w:p w:rsidR="007875DB" w:rsidRDefault="007875DB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32" w:type="dxa"/>
            <w:vAlign w:val="center"/>
          </w:tcPr>
          <w:p w:rsidR="007875DB" w:rsidRP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不同格式明细分类账的适用范围。</w:t>
            </w:r>
          </w:p>
        </w:tc>
      </w:tr>
      <w:tr w:rsidR="007875DB" w:rsidTr="00E851D3">
        <w:trPr>
          <w:trHeight w:val="982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</w:t>
            </w:r>
            <w:r w:rsidR="008B324A">
              <w:rPr>
                <w:rFonts w:ascii="宋体" w:eastAsia="宋体" w:hAnsi="宋体" w:hint="eastAsia"/>
                <w:szCs w:val="21"/>
              </w:rPr>
              <w:t>账</w:t>
            </w:r>
            <w:r>
              <w:rPr>
                <w:rFonts w:ascii="宋体" w:eastAsia="宋体" w:hAnsi="宋体" w:hint="eastAsia"/>
                <w:szCs w:val="21"/>
              </w:rPr>
              <w:t>登记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科目汇总表；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根据科目汇总表编制总分类账。</w:t>
            </w:r>
          </w:p>
        </w:tc>
        <w:tc>
          <w:tcPr>
            <w:tcW w:w="2625" w:type="dxa"/>
            <w:vAlign w:val="center"/>
          </w:tcPr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形账的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设置与登记；</w:t>
            </w:r>
          </w:p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科目汇总表的编制；</w:t>
            </w:r>
          </w:p>
          <w:p w:rsidR="007875DB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总账的登记</w:t>
            </w:r>
            <w:r w:rsidR="00B47A24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432" w:type="dxa"/>
            <w:vAlign w:val="center"/>
          </w:tcPr>
          <w:p w:rsidR="007875DB" w:rsidRP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形账的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设置与登记。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Pr="00C529E9" w:rsidRDefault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根据总账编制试算平衡表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C529E9" w:rsidRDefault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625" w:type="dxa"/>
            <w:vAlign w:val="center"/>
          </w:tcPr>
          <w:p w:rsidR="00C529E9" w:rsidRPr="00C529E9" w:rsidRDefault="00C529E9" w:rsidP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根据总账编制试算平衡表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7875DB" w:rsidRDefault="00C529E9" w:rsidP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432" w:type="dxa"/>
            <w:vAlign w:val="center"/>
          </w:tcPr>
          <w:p w:rsidR="00C529E9" w:rsidRPr="00C529E9" w:rsidRDefault="00C529E9" w:rsidP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试算平衡表</w:t>
            </w:r>
            <w:r w:rsidR="00C1565F">
              <w:rPr>
                <w:rFonts w:hint="eastAsia"/>
                <w:szCs w:val="21"/>
              </w:rPr>
              <w:t>的</w:t>
            </w:r>
            <w:r w:rsidR="00C1565F">
              <w:rPr>
                <w:rFonts w:ascii="宋体" w:eastAsia="宋体" w:hAnsi="宋体" w:hint="eastAsia"/>
                <w:szCs w:val="21"/>
              </w:rPr>
              <w:t>三段试算平衡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7875DB" w:rsidRDefault="00C529E9" w:rsidP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会计信息系统概论与操作基本流程介绍</w:t>
            </w:r>
          </w:p>
        </w:tc>
        <w:tc>
          <w:tcPr>
            <w:tcW w:w="2625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会计信息系统的构成；</w:t>
            </w:r>
          </w:p>
          <w:p w:rsidR="0037040A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会计信息系统的基本要求。</w:t>
            </w:r>
          </w:p>
        </w:tc>
        <w:tc>
          <w:tcPr>
            <w:tcW w:w="2432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7040A">
              <w:rPr>
                <w:rFonts w:ascii="宋体" w:eastAsia="宋体" w:hAnsi="宋体" w:hint="eastAsia"/>
                <w:szCs w:val="21"/>
              </w:rPr>
              <w:t>计算机会计信息系统与手工会计信息系统的异同</w:t>
            </w:r>
            <w:r>
              <w:rPr>
                <w:rFonts w:ascii="宋体" w:eastAsia="宋体" w:hAnsi="宋体" w:hint="eastAsia"/>
                <w:szCs w:val="21"/>
              </w:rPr>
              <w:t>；金蝶K</w:t>
            </w:r>
            <w:r>
              <w:rPr>
                <w:rFonts w:ascii="宋体" w:eastAsia="宋体" w:hAnsi="宋体"/>
                <w:szCs w:val="21"/>
              </w:rPr>
              <w:t>IS</w:t>
            </w:r>
            <w:r>
              <w:rPr>
                <w:rFonts w:ascii="宋体" w:eastAsia="宋体" w:hAnsi="宋体" w:hint="eastAsia"/>
                <w:szCs w:val="21"/>
              </w:rPr>
              <w:t>标准版的操作基本流程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初始化</w:t>
            </w:r>
            <w:r w:rsidR="00AD15A5">
              <w:rPr>
                <w:rFonts w:ascii="宋体" w:eastAsia="宋体" w:hAnsi="宋体" w:hint="eastAsia"/>
                <w:szCs w:val="21"/>
              </w:rPr>
              <w:t>设置</w:t>
            </w:r>
          </w:p>
        </w:tc>
        <w:tc>
          <w:tcPr>
            <w:tcW w:w="2625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建立账套</w:t>
            </w:r>
            <w:r w:rsidR="002B1FFB">
              <w:rPr>
                <w:rFonts w:ascii="宋体" w:eastAsia="宋体" w:hAnsi="宋体" w:hint="eastAsia"/>
                <w:szCs w:val="21"/>
              </w:rPr>
              <w:t>；用户权限设置；基础资料；核算项目；会计科目设置；初始数据录入；</w:t>
            </w:r>
            <w:proofErr w:type="gramStart"/>
            <w:r w:rsidR="002B1FFB">
              <w:rPr>
                <w:rFonts w:ascii="宋体" w:eastAsia="宋体" w:hAnsi="宋体" w:hint="eastAsia"/>
                <w:szCs w:val="21"/>
              </w:rPr>
              <w:t>启用账套</w:t>
            </w:r>
            <w:proofErr w:type="gramEnd"/>
          </w:p>
        </w:tc>
        <w:tc>
          <w:tcPr>
            <w:tcW w:w="2432" w:type="dxa"/>
            <w:vAlign w:val="center"/>
          </w:tcPr>
          <w:p w:rsidR="007875DB" w:rsidRDefault="002B1FF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固定资产初始数据的设置与录入；往来科目的设置；初始数据的试算平衡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账务处理</w:t>
            </w:r>
          </w:p>
        </w:tc>
        <w:tc>
          <w:tcPr>
            <w:tcW w:w="2625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凭证录入；凭证审核；凭证管理；凭证过账；查询账簿和常规报表</w:t>
            </w:r>
          </w:p>
        </w:tc>
        <w:tc>
          <w:tcPr>
            <w:tcW w:w="2432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凭证录入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固定资产模块处理</w:t>
            </w:r>
          </w:p>
        </w:tc>
        <w:tc>
          <w:tcPr>
            <w:tcW w:w="2625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固定资产增减；固定资产变动；计提折旧；资料查询</w:t>
            </w:r>
          </w:p>
        </w:tc>
        <w:tc>
          <w:tcPr>
            <w:tcW w:w="2432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固定资产增减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工资管理模块处理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项目设置；公式设置；数据录入；工资费用分配；资料输出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工资费用分配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汇兑损益凭证生成；期末凭证生成；期末结账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期末凭证生成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报表与分析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自定义报表编制；常规报表编制；报表分析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自定义报表编制与分析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往来管理模块处理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往来业务核销；往来对账单查询；账龄分析；合同管理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往来业务核销</w:t>
            </w:r>
          </w:p>
        </w:tc>
      </w:tr>
    </w:tbl>
    <w:p w:rsidR="007875DB" w:rsidRDefault="00CC4FC2" w:rsidP="005C4071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5"/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3629"/>
        <w:gridCol w:w="1701"/>
        <w:gridCol w:w="1190"/>
        <w:gridCol w:w="1148"/>
      </w:tblGrid>
      <w:tr w:rsidR="007875DB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875DB" w:rsidTr="00E933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875DB" w:rsidRDefault="00CC4FC2" w:rsidP="00FC00E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7875DB" w:rsidRDefault="00FC00E3" w:rsidP="00DC64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E038EB"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E851D3" w:rsidRPr="00E851D3" w:rsidRDefault="00E851D3" w:rsidP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介绍会计循环的基本流程；</w:t>
            </w:r>
          </w:p>
          <w:p w:rsidR="007875DB" w:rsidRDefault="00E851D3" w:rsidP="00E851D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/>
                <w:szCs w:val="21"/>
              </w:rPr>
              <w:t>开设会计账户，登记期初余额</w:t>
            </w:r>
          </w:p>
        </w:tc>
        <w:tc>
          <w:tcPr>
            <w:tcW w:w="1701" w:type="dxa"/>
            <w:vAlign w:val="center"/>
          </w:tcPr>
          <w:p w:rsidR="007875DB" w:rsidRDefault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7875DB" w:rsidRDefault="00E851D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C4FC2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7875DB" w:rsidRDefault="00F46F8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原始凭证的填制与审核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记账凭证的填制</w:t>
            </w:r>
            <w:r>
              <w:rPr>
                <w:rFonts w:ascii="宋体" w:eastAsia="宋体" w:hAnsi="宋体" w:hint="eastAsia"/>
                <w:szCs w:val="21"/>
              </w:rPr>
              <w:t>与</w:t>
            </w:r>
            <w:r>
              <w:rPr>
                <w:rFonts w:ascii="宋体" w:eastAsia="宋体" w:hAnsi="宋体"/>
                <w:szCs w:val="21"/>
              </w:rPr>
              <w:t>审核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/>
                <w:szCs w:val="21"/>
              </w:rPr>
              <w:t>记账凭证的审核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根据记账凭证登记现金和银行存款日记账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根据记账凭证登记各类明细账，并结出各明细分类账的期末余额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编制科目汇总表并据以登记总分类账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根据总分类账和有关明细分类账编制资产负债表和利润表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编写实验报告和整理资料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会计信息系统基础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会计信息化的基本内容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会计信息系统的基本要求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金蝶</w:t>
            </w:r>
            <w:r>
              <w:rPr>
                <w:rFonts w:ascii="Times New Roman" w:hAnsi="Times New Roman" w:hint="eastAsia"/>
              </w:rPr>
              <w:t>K</w:t>
            </w:r>
            <w:r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 w:hint="eastAsia"/>
              </w:rPr>
              <w:t>标准版软件的介绍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建立账套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用户管理设置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核算项目设置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币别设置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会计科目设置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初始数据录入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试算平衡并</w:t>
            </w:r>
            <w:proofErr w:type="gramStart"/>
            <w:r>
              <w:rPr>
                <w:rFonts w:ascii="Times New Roman" w:hAnsi="Times New Roman" w:hint="eastAsia"/>
              </w:rPr>
              <w:t>启用账套</w:t>
            </w:r>
            <w:proofErr w:type="gramEnd"/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凭证录入、审核并过账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查看总账、明细账和试算平衡表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新建多栏式明细账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固定资产增加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固定资产其他变动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计提折旧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工资项目设置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工资计算方法设置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工资费用分配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期末调汇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自动转账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结转本期损益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第11章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资产负债表编制与分析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利润表编制与分析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自定义报表编制与分析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第12章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往来业务核销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往来对账单查询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账龄分析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编写实验报告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7875DB" w:rsidRDefault="00CC4FC2" w:rsidP="005C4071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6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875DB" w:rsidRDefault="000240B8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有关期初开设账户、原始凭证的填制与审核、记账凭证的填制与审核、制作</w:t>
            </w:r>
            <w:r>
              <w:rPr>
                <w:rFonts w:ascii="宋体"/>
                <w:szCs w:val="21"/>
              </w:rPr>
              <w:t>T</w:t>
            </w:r>
            <w:proofErr w:type="gramStart"/>
            <w:r>
              <w:rPr>
                <w:rFonts w:ascii="宋体" w:hint="eastAsia"/>
                <w:szCs w:val="21"/>
              </w:rPr>
              <w:t>形</w:t>
            </w:r>
            <w:r w:rsidR="00087320">
              <w:rPr>
                <w:rFonts w:ascii="宋体" w:hint="eastAsia"/>
                <w:szCs w:val="21"/>
              </w:rPr>
              <w:t>账</w:t>
            </w:r>
            <w:r>
              <w:rPr>
                <w:rFonts w:ascii="宋体" w:hint="eastAsia"/>
                <w:szCs w:val="21"/>
              </w:rPr>
              <w:t>的</w:t>
            </w:r>
            <w:proofErr w:type="gramEnd"/>
            <w:r>
              <w:rPr>
                <w:rFonts w:ascii="宋体" w:hint="eastAsia"/>
                <w:szCs w:val="21"/>
              </w:rPr>
              <w:t>考察。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7875DB" w:rsidRDefault="00D540B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对根据记账凭证登记明细账和日记账的技能掌握情况，以及根据</w:t>
            </w:r>
            <w:r>
              <w:rPr>
                <w:rFonts w:ascii="宋体"/>
                <w:szCs w:val="21"/>
              </w:rPr>
              <w:t>T</w:t>
            </w:r>
            <w:proofErr w:type="gramStart"/>
            <w:r>
              <w:rPr>
                <w:rFonts w:ascii="宋体" w:hint="eastAsia"/>
                <w:szCs w:val="21"/>
              </w:rPr>
              <w:t>形</w:t>
            </w:r>
            <w:r w:rsidR="00087320">
              <w:rPr>
                <w:rFonts w:ascii="宋体" w:hint="eastAsia"/>
                <w:szCs w:val="21"/>
              </w:rPr>
              <w:t>账</w:t>
            </w:r>
            <w:r>
              <w:rPr>
                <w:rFonts w:ascii="宋体" w:hint="eastAsia"/>
                <w:szCs w:val="21"/>
              </w:rPr>
              <w:t>登记</w:t>
            </w:r>
            <w:proofErr w:type="gramEnd"/>
            <w:r>
              <w:rPr>
                <w:rFonts w:ascii="宋体" w:hint="eastAsia"/>
                <w:szCs w:val="21"/>
              </w:rPr>
              <w:t>科目汇总表</w:t>
            </w:r>
            <w:r w:rsidR="006D4D84">
              <w:rPr>
                <w:rFonts w:ascii="宋体" w:hint="eastAsia"/>
                <w:szCs w:val="21"/>
              </w:rPr>
              <w:t>和根据科目汇总表登记总账的技能的掌握情况的考察。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7875DB" w:rsidRDefault="00F4211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 w:hint="eastAsia"/>
                <w:bCs/>
                <w:szCs w:val="21"/>
              </w:rPr>
              <w:t>编制试算平衡表和各类会计报表的能力，以及对整个会计活动的过程的认识。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7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7875DB" w:rsidRDefault="00AD15A5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熟练掌握软件的操作流程以及各个模块的处理功能，正确进行初始化设置、凭证录入以及报表生成的操作。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7875DB" w:rsidRDefault="00AD15A5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灵活运用软件的功能，进行自定义报表的编制和分析，熟练掌握各个模块的具体操作并</w:t>
            </w:r>
            <w:r w:rsidR="006827F0">
              <w:rPr>
                <w:rFonts w:hint="eastAsia"/>
                <w:szCs w:val="21"/>
              </w:rPr>
              <w:t>做到学以致用，具备一定的创新和研究能力。</w:t>
            </w:r>
          </w:p>
        </w:tc>
      </w:tr>
    </w:tbl>
    <w:p w:rsidR="007875DB" w:rsidRDefault="00CC4FC2" w:rsidP="005C4071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50"/>
      <w:bookmarkEnd w:id="7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8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手工账</w:t>
            </w:r>
          </w:p>
        </w:tc>
        <w:tc>
          <w:tcPr>
            <w:tcW w:w="793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:rsidR="007875DB" w:rsidRPr="009C1458" w:rsidRDefault="00D95ACC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会计凭证、账簿、报表和实验报告的比例为1：2：1：1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</w:t>
            </w:r>
          </w:p>
        </w:tc>
        <w:tc>
          <w:tcPr>
            <w:tcW w:w="793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:rsidR="007875DB" w:rsidRDefault="00AD15A5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初始化数据、凭证、报表和实验报告的比例为1：1：2：1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7875DB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875DB" w:rsidRDefault="007875DB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448" w:type="dxa"/>
            <w:vAlign w:val="center"/>
          </w:tcPr>
          <w:p w:rsidR="007875DB" w:rsidRDefault="007875DB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</w:tbl>
    <w:p w:rsidR="007875DB" w:rsidRDefault="007875DB"/>
    <w:sectPr w:rsidR="007875DB" w:rsidSect="00CF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FF" w:rsidRDefault="00F91BFF" w:rsidP="00DE35D6">
      <w:r>
        <w:separator/>
      </w:r>
    </w:p>
  </w:endnote>
  <w:endnote w:type="continuationSeparator" w:id="0">
    <w:p w:rsidR="00F91BFF" w:rsidRDefault="00F91BFF" w:rsidP="00DE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FF" w:rsidRDefault="00F91BFF" w:rsidP="00DE35D6">
      <w:r>
        <w:separator/>
      </w:r>
    </w:p>
  </w:footnote>
  <w:footnote w:type="continuationSeparator" w:id="0">
    <w:p w:rsidR="00F91BFF" w:rsidRDefault="00F91BFF" w:rsidP="00DE3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0B690E"/>
    <w:rsid w:val="000240B8"/>
    <w:rsid w:val="00030A7B"/>
    <w:rsid w:val="00037A6B"/>
    <w:rsid w:val="00087320"/>
    <w:rsid w:val="000B6A3A"/>
    <w:rsid w:val="000C3A4F"/>
    <w:rsid w:val="00105F86"/>
    <w:rsid w:val="00146B52"/>
    <w:rsid w:val="00161F28"/>
    <w:rsid w:val="0019730E"/>
    <w:rsid w:val="001F6BDB"/>
    <w:rsid w:val="002418C9"/>
    <w:rsid w:val="002B1FFB"/>
    <w:rsid w:val="002E0630"/>
    <w:rsid w:val="002E1092"/>
    <w:rsid w:val="0034548B"/>
    <w:rsid w:val="0037040A"/>
    <w:rsid w:val="003722C2"/>
    <w:rsid w:val="004A2446"/>
    <w:rsid w:val="005C4071"/>
    <w:rsid w:val="005D6106"/>
    <w:rsid w:val="006827F0"/>
    <w:rsid w:val="006D4D84"/>
    <w:rsid w:val="006E4D10"/>
    <w:rsid w:val="0071505B"/>
    <w:rsid w:val="007467DD"/>
    <w:rsid w:val="007875DB"/>
    <w:rsid w:val="007D492F"/>
    <w:rsid w:val="007F2CA7"/>
    <w:rsid w:val="00874D0B"/>
    <w:rsid w:val="008A4E7B"/>
    <w:rsid w:val="008B324A"/>
    <w:rsid w:val="009018ED"/>
    <w:rsid w:val="0098717B"/>
    <w:rsid w:val="009C1458"/>
    <w:rsid w:val="00A229CD"/>
    <w:rsid w:val="00AD15A5"/>
    <w:rsid w:val="00AD7FD5"/>
    <w:rsid w:val="00B4154F"/>
    <w:rsid w:val="00B47A24"/>
    <w:rsid w:val="00B77155"/>
    <w:rsid w:val="00C119C1"/>
    <w:rsid w:val="00C14BE5"/>
    <w:rsid w:val="00C1565F"/>
    <w:rsid w:val="00C25185"/>
    <w:rsid w:val="00C369E2"/>
    <w:rsid w:val="00C51E9F"/>
    <w:rsid w:val="00C529E9"/>
    <w:rsid w:val="00CC4FC2"/>
    <w:rsid w:val="00CE2F97"/>
    <w:rsid w:val="00CF610D"/>
    <w:rsid w:val="00D301CA"/>
    <w:rsid w:val="00D540B0"/>
    <w:rsid w:val="00D713F2"/>
    <w:rsid w:val="00D72822"/>
    <w:rsid w:val="00D95ACC"/>
    <w:rsid w:val="00DC64B9"/>
    <w:rsid w:val="00DE35D6"/>
    <w:rsid w:val="00E038EB"/>
    <w:rsid w:val="00E45F51"/>
    <w:rsid w:val="00E851D3"/>
    <w:rsid w:val="00E9338B"/>
    <w:rsid w:val="00EE11CF"/>
    <w:rsid w:val="00F4211C"/>
    <w:rsid w:val="00F46F88"/>
    <w:rsid w:val="00F72157"/>
    <w:rsid w:val="00F91BFF"/>
    <w:rsid w:val="00FA69DA"/>
    <w:rsid w:val="00FC00E3"/>
    <w:rsid w:val="010A0D65"/>
    <w:rsid w:val="01197C96"/>
    <w:rsid w:val="0186364F"/>
    <w:rsid w:val="01F97679"/>
    <w:rsid w:val="02733B90"/>
    <w:rsid w:val="02BF31C8"/>
    <w:rsid w:val="0368157E"/>
    <w:rsid w:val="03DA1982"/>
    <w:rsid w:val="03F723E3"/>
    <w:rsid w:val="045A3025"/>
    <w:rsid w:val="04BE70B5"/>
    <w:rsid w:val="058A3286"/>
    <w:rsid w:val="05FC67E6"/>
    <w:rsid w:val="06E80297"/>
    <w:rsid w:val="07871B2D"/>
    <w:rsid w:val="08FF2C00"/>
    <w:rsid w:val="0A09570F"/>
    <w:rsid w:val="0C1A4F69"/>
    <w:rsid w:val="0D0A3F6A"/>
    <w:rsid w:val="0EBB02D9"/>
    <w:rsid w:val="0ED85377"/>
    <w:rsid w:val="0EED006D"/>
    <w:rsid w:val="0F160F08"/>
    <w:rsid w:val="103C6110"/>
    <w:rsid w:val="10554B1F"/>
    <w:rsid w:val="13CF53C8"/>
    <w:rsid w:val="150532B4"/>
    <w:rsid w:val="152E07A7"/>
    <w:rsid w:val="18B517D7"/>
    <w:rsid w:val="19194F98"/>
    <w:rsid w:val="19C150FF"/>
    <w:rsid w:val="1A28480D"/>
    <w:rsid w:val="1A373F54"/>
    <w:rsid w:val="1A432359"/>
    <w:rsid w:val="1A4F3C76"/>
    <w:rsid w:val="1B7561D3"/>
    <w:rsid w:val="1C081325"/>
    <w:rsid w:val="1C976B4F"/>
    <w:rsid w:val="1D104B4A"/>
    <w:rsid w:val="201B5F77"/>
    <w:rsid w:val="20622AC7"/>
    <w:rsid w:val="20AF2C06"/>
    <w:rsid w:val="20FE5AA2"/>
    <w:rsid w:val="2166344C"/>
    <w:rsid w:val="21CA270F"/>
    <w:rsid w:val="21CD4BBC"/>
    <w:rsid w:val="223407D1"/>
    <w:rsid w:val="227B2D1C"/>
    <w:rsid w:val="2365205B"/>
    <w:rsid w:val="239B2AA3"/>
    <w:rsid w:val="23CC0EF0"/>
    <w:rsid w:val="246C701B"/>
    <w:rsid w:val="26747FDE"/>
    <w:rsid w:val="26FA3925"/>
    <w:rsid w:val="27567CB4"/>
    <w:rsid w:val="29344E77"/>
    <w:rsid w:val="299D1863"/>
    <w:rsid w:val="2BA0200A"/>
    <w:rsid w:val="2BB10DCB"/>
    <w:rsid w:val="2C015BD3"/>
    <w:rsid w:val="2C0B690E"/>
    <w:rsid w:val="2C537CEB"/>
    <w:rsid w:val="2CE730D2"/>
    <w:rsid w:val="2CEC55D0"/>
    <w:rsid w:val="2DC12998"/>
    <w:rsid w:val="2E5C255D"/>
    <w:rsid w:val="2EEE4A64"/>
    <w:rsid w:val="30286FCC"/>
    <w:rsid w:val="30970034"/>
    <w:rsid w:val="30A2211C"/>
    <w:rsid w:val="31FA05F5"/>
    <w:rsid w:val="33310680"/>
    <w:rsid w:val="33437749"/>
    <w:rsid w:val="346943BE"/>
    <w:rsid w:val="35767BEA"/>
    <w:rsid w:val="38A13F53"/>
    <w:rsid w:val="3ABD5E18"/>
    <w:rsid w:val="3AE00FFF"/>
    <w:rsid w:val="3BA44A29"/>
    <w:rsid w:val="3CF4481F"/>
    <w:rsid w:val="3D361ADD"/>
    <w:rsid w:val="3E9C6AE9"/>
    <w:rsid w:val="3EA32BE6"/>
    <w:rsid w:val="3EB50DFB"/>
    <w:rsid w:val="3EE64C30"/>
    <w:rsid w:val="3EF45CF8"/>
    <w:rsid w:val="3F3E15C2"/>
    <w:rsid w:val="401E5CDE"/>
    <w:rsid w:val="43386E30"/>
    <w:rsid w:val="435554D1"/>
    <w:rsid w:val="437F2CC2"/>
    <w:rsid w:val="43DE33DC"/>
    <w:rsid w:val="445E5287"/>
    <w:rsid w:val="45064F2A"/>
    <w:rsid w:val="452640F1"/>
    <w:rsid w:val="455B05C8"/>
    <w:rsid w:val="45C6330F"/>
    <w:rsid w:val="45FB5912"/>
    <w:rsid w:val="48286BD7"/>
    <w:rsid w:val="486173D5"/>
    <w:rsid w:val="48C51E48"/>
    <w:rsid w:val="49B24AE0"/>
    <w:rsid w:val="4A3E7E76"/>
    <w:rsid w:val="4A8A2FB4"/>
    <w:rsid w:val="4ADB34E5"/>
    <w:rsid w:val="4BF30E51"/>
    <w:rsid w:val="4C3327AC"/>
    <w:rsid w:val="4C5B25C6"/>
    <w:rsid w:val="4CB15B19"/>
    <w:rsid w:val="4CE210ED"/>
    <w:rsid w:val="4D7E0D67"/>
    <w:rsid w:val="4DE80CCD"/>
    <w:rsid w:val="4E0E5034"/>
    <w:rsid w:val="4E344C54"/>
    <w:rsid w:val="4EDC46A4"/>
    <w:rsid w:val="4EE01389"/>
    <w:rsid w:val="4F19146A"/>
    <w:rsid w:val="4F2271BE"/>
    <w:rsid w:val="4F937661"/>
    <w:rsid w:val="4FD245DA"/>
    <w:rsid w:val="4FE1136C"/>
    <w:rsid w:val="4FEA3B60"/>
    <w:rsid w:val="51A44C0C"/>
    <w:rsid w:val="52873A57"/>
    <w:rsid w:val="53704BA1"/>
    <w:rsid w:val="538C7031"/>
    <w:rsid w:val="56986ED5"/>
    <w:rsid w:val="57143CCD"/>
    <w:rsid w:val="573D4EE8"/>
    <w:rsid w:val="579B1B6B"/>
    <w:rsid w:val="58391DD5"/>
    <w:rsid w:val="59C60C43"/>
    <w:rsid w:val="5A9F6250"/>
    <w:rsid w:val="5B083030"/>
    <w:rsid w:val="5B5F7593"/>
    <w:rsid w:val="5BE21BBF"/>
    <w:rsid w:val="5BE822D3"/>
    <w:rsid w:val="5BFC1FC0"/>
    <w:rsid w:val="5C140A81"/>
    <w:rsid w:val="5D3C4B5D"/>
    <w:rsid w:val="5D842B33"/>
    <w:rsid w:val="5DC76E04"/>
    <w:rsid w:val="5DF1205F"/>
    <w:rsid w:val="5E3D28D7"/>
    <w:rsid w:val="5E736196"/>
    <w:rsid w:val="602362A0"/>
    <w:rsid w:val="60424D4A"/>
    <w:rsid w:val="620754B0"/>
    <w:rsid w:val="62705D89"/>
    <w:rsid w:val="63632C75"/>
    <w:rsid w:val="636F2F7B"/>
    <w:rsid w:val="636F5F57"/>
    <w:rsid w:val="63B2008E"/>
    <w:rsid w:val="64096D45"/>
    <w:rsid w:val="64CD2208"/>
    <w:rsid w:val="65165103"/>
    <w:rsid w:val="65226C74"/>
    <w:rsid w:val="653B7916"/>
    <w:rsid w:val="667D2FF4"/>
    <w:rsid w:val="67DC6DE1"/>
    <w:rsid w:val="697D4B1F"/>
    <w:rsid w:val="6A0C1E4C"/>
    <w:rsid w:val="6C897E49"/>
    <w:rsid w:val="6CF96924"/>
    <w:rsid w:val="6DED44FC"/>
    <w:rsid w:val="6E4A679D"/>
    <w:rsid w:val="6F6E4C75"/>
    <w:rsid w:val="6FCF5C84"/>
    <w:rsid w:val="70B9247D"/>
    <w:rsid w:val="72F231C9"/>
    <w:rsid w:val="74466A8C"/>
    <w:rsid w:val="74644804"/>
    <w:rsid w:val="746F6332"/>
    <w:rsid w:val="753D0D01"/>
    <w:rsid w:val="756306C6"/>
    <w:rsid w:val="759902A7"/>
    <w:rsid w:val="75DA02AC"/>
    <w:rsid w:val="75F17075"/>
    <w:rsid w:val="7606280F"/>
    <w:rsid w:val="77BC48A3"/>
    <w:rsid w:val="77FD2A30"/>
    <w:rsid w:val="7A9C28AD"/>
    <w:rsid w:val="7B030B89"/>
    <w:rsid w:val="7B746813"/>
    <w:rsid w:val="7BCE583D"/>
    <w:rsid w:val="7C59287E"/>
    <w:rsid w:val="7C736537"/>
    <w:rsid w:val="7CB01624"/>
    <w:rsid w:val="7CEC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F6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CF610D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"/>
    <w:rsid w:val="00DE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5D6"/>
    <w:rPr>
      <w:kern w:val="2"/>
      <w:sz w:val="18"/>
      <w:szCs w:val="18"/>
    </w:rPr>
  </w:style>
  <w:style w:type="paragraph" w:styleId="a5">
    <w:name w:val="footer"/>
    <w:basedOn w:val="a"/>
    <w:link w:val="Char0"/>
    <w:rsid w:val="00DE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5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5</Pages>
  <Words>594</Words>
  <Characters>3391</Characters>
  <Application>Microsoft Office Word</Application>
  <DocSecurity>0</DocSecurity>
  <Lines>28</Lines>
  <Paragraphs>7</Paragraphs>
  <ScaleCrop>false</ScaleCrop>
  <Company>111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125</cp:revision>
  <dcterms:created xsi:type="dcterms:W3CDTF">2019-06-30T10:53:00Z</dcterms:created>
  <dcterms:modified xsi:type="dcterms:W3CDTF">2019-12-06T13:49:00Z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