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hint="eastAsia" w:ascii="宋体" w:hAnsi="宋体" w:eastAsia="宋体"/>
          <w:color w:val="FF0000"/>
          <w:szCs w:val="21"/>
        </w:rPr>
        <w:t xml:space="preserve">   </w:t>
      </w:r>
      <w:r>
        <w:rPr>
          <w:rFonts w:ascii="黑体" w:hAnsi="黑体" w:eastAsia="黑体"/>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管理学本科课程教学大纲</w:t>
                  </w:r>
                </w:p>
              </w:txbxContent>
            </v:textbox>
          </v:rect>
        </w:pict>
      </w:r>
    </w:p>
    <w:p>
      <w:pPr>
        <w:jc w:val="left"/>
        <w:outlineLvl w:val="0"/>
        <w:rPr>
          <w:rFonts w:ascii="仿宋_GB2312" w:hAnsi="黑体" w:eastAsia="仿宋_GB2312"/>
          <w:sz w:val="30"/>
          <w:szCs w:val="30"/>
        </w:rPr>
      </w:pPr>
      <w:r>
        <w:rPr>
          <w:rFonts w:hint="eastAsia" w:ascii="宋体" w:hAnsi="宋体" w:eastAsia="宋体"/>
          <w:color w:val="FF0000"/>
          <w:szCs w:val="21"/>
        </w:rPr>
        <w:t xml:space="preserve">    </w:t>
      </w:r>
      <w:bookmarkStart w:id="11" w:name="_GoBack"/>
      <w:bookmarkEnd w:id="11"/>
      <w:r>
        <w:rPr>
          <w:rFonts w:ascii="仿宋_GB2312" w:hAnsi="黑体" w:eastAsia="仿宋_GB2312"/>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编制人：王子贤</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v:textbox>
          </v:rect>
        </w:pict>
      </w:r>
      <w:r>
        <w:rPr>
          <w:rFonts w:ascii="仿宋_GB2312" w:hAnsi="黑体" w:eastAsia="仿宋_GB2312"/>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日                  </w:t>
                  </w:r>
                </w:p>
                <w:p/>
              </w:txbxContent>
            </v:textbox>
          </v:rect>
        </w:pict>
      </w:r>
    </w:p>
    <w:p>
      <w:pPr>
        <w:spacing w:line="360" w:lineRule="auto"/>
        <w:jc w:val="left"/>
        <w:outlineLvl w:val="0"/>
        <w:rPr>
          <w:rFonts w:ascii="仿宋_GB2312" w:hAnsi="黑体" w:eastAsia="仿宋_GB2312"/>
          <w:sz w:val="30"/>
          <w:szCs w:val="30"/>
        </w:rPr>
      </w:pPr>
    </w:p>
    <w:p>
      <w:pPr>
        <w:jc w:val="left"/>
        <w:outlineLvl w:val="0"/>
        <w:rPr>
          <w:rFonts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spacing w:after="156" w:afterLines="50"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管理学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Times New Roman" w:hAnsi="Times New Roman" w:eastAsia="宋体" w:cs="Times New Roman"/>
                <w:sz w:val="24"/>
                <w:szCs w:val="24"/>
              </w:rPr>
              <w:t>Management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cs="宋体"/>
                <w:szCs w:val="21"/>
              </w:rPr>
              <w:t>18301050300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color w:val="000000" w:themeColor="text1"/>
                <w:sz w:val="24"/>
                <w:szCs w:val="24"/>
              </w:rPr>
              <w:t>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sz w:val="24"/>
                <w:szCs w:val="24"/>
              </w:rPr>
              <w:t>3</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宋体" w:hAnsi="宋体" w:eastAsia="宋体"/>
                <w:sz w:val="24"/>
                <w:szCs w:val="24"/>
              </w:rP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经济统计</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王子贤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梁振东、张梅、李彬、陈致津、王奇、陈再福、李敏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陈传明主编，管理学，北京：高等教育出版社，20</w:t>
            </w:r>
            <w:r>
              <w:rPr>
                <w:rFonts w:ascii="宋体" w:hAnsi="宋体" w:eastAsia="宋体"/>
                <w:sz w:val="24"/>
                <w:szCs w:val="24"/>
              </w:rPr>
              <w:t>19</w:t>
            </w:r>
            <w:r>
              <w:rPr>
                <w:rFonts w:hint="eastAsia" w:ascii="宋体" w:hAnsi="宋体" w:eastAsia="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1. 周三多主编，管理学(第五版)，北京：高等教育出版社，2018</w:t>
            </w:r>
            <w:r>
              <w:rPr>
                <w:rFonts w:ascii="宋体" w:hAnsi="宋体" w:eastAsia="宋体"/>
                <w:sz w:val="24"/>
                <w:szCs w:val="24"/>
              </w:rPr>
              <w:t>.</w:t>
            </w:r>
          </w:p>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2. [美]斯蒂芬·罗宾斯、玛丽·库尔特，管理学（第13版），刘刚等译，北京：中国人民大学出版社，2017.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color w:val="000000" w:themeColor="text1"/>
                <w:sz w:val="24"/>
                <w:szCs w:val="24"/>
              </w:rPr>
              <w:t>陈传明主编，管理学，北京：高等教育出版社，2019.</w:t>
            </w:r>
          </w:p>
        </w:tc>
      </w:tr>
    </w:tbl>
    <w:p>
      <w:pPr>
        <w:widowControl/>
        <w:spacing w:line="360" w:lineRule="auto"/>
        <w:jc w:val="left"/>
        <w:outlineLvl w:val="0"/>
        <w:rPr>
          <w:rFonts w:ascii="黑体" w:hAnsi="黑体" w:eastAsia="黑体"/>
          <w:sz w:val="30"/>
          <w:szCs w:val="30"/>
        </w:rPr>
      </w:pPr>
      <w:bookmarkStart w:id="2" w:name="_Toc4406546"/>
      <w:bookmarkStart w:id="3" w:name="_Toc2371664"/>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spacing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理解管理的内涵与本质，熟悉管理理论的发展脉络，掌握决策、计划、组织、领导、控制和创新等管理工作相关的基本理论和基本方法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初步具备运用所学管理知识分析和解决实际问题的能力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倡导社会主义核心价值观，树立良好的职业操守和职业道德，具备社会责任感和人文关怀意识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color w:val="000000" w:themeColor="text1"/>
                <w:szCs w:val="21"/>
              </w:rPr>
              <w:t>了解管理理论和管理实践的发展动态，初步具备一定的创新和创业能力</w:t>
            </w:r>
          </w:p>
        </w:tc>
      </w:tr>
    </w:tbl>
    <w:p>
      <w:pPr>
        <w:spacing w:before="156" w:beforeLines="50" w:after="156" w:afterLines="50"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1"/>
              <w:adjustRightInd w:val="0"/>
              <w:snapToGrid w:val="0"/>
              <w:spacing w:line="320" w:lineRule="exact"/>
              <w:ind w:left="420" w:hanging="420" w:hangingChars="200"/>
              <w:jc w:val="left"/>
              <w:rPr>
                <w:rFonts w:eastAsia="宋体"/>
                <w:sz w:val="21"/>
                <w:szCs w:val="21"/>
              </w:rPr>
            </w:pPr>
            <w:r>
              <w:rPr>
                <w:rFonts w:hint="eastAsia" w:eastAsia="宋体"/>
                <w:sz w:val="21"/>
                <w:szCs w:val="21"/>
              </w:rPr>
              <w:t>1.3 其他相关领域知识。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adjustRightInd w:val="0"/>
              <w:snapToGrid w:val="0"/>
              <w:spacing w:line="320" w:lineRule="exact"/>
              <w:jc w:val="left"/>
              <w:rPr>
                <w:szCs w:val="21"/>
              </w:rPr>
            </w:pPr>
            <w:r>
              <w:rPr>
                <w:rFonts w:hint="eastAsia" w:ascii="宋体" w:hAnsi="宋体" w:eastAsia="宋体"/>
                <w:szCs w:val="21"/>
              </w:rPr>
              <w:t>毕业要求2：能力要求</w:t>
            </w:r>
          </w:p>
        </w:tc>
        <w:tc>
          <w:tcPr>
            <w:tcW w:w="5670" w:type="dxa"/>
            <w:vAlign w:val="center"/>
          </w:tcPr>
          <w:p>
            <w:pPr>
              <w:pStyle w:val="21"/>
              <w:adjustRightInd w:val="0"/>
              <w:snapToGrid w:val="0"/>
              <w:spacing w:line="320" w:lineRule="exact"/>
              <w:ind w:left="420" w:hanging="420" w:hangingChars="200"/>
              <w:jc w:val="left"/>
              <w:rPr>
                <w:sz w:val="21"/>
                <w:szCs w:val="21"/>
              </w:rPr>
            </w:pPr>
            <w:r>
              <w:rPr>
                <w:rFonts w:hint="eastAsia"/>
                <w:sz w:val="21"/>
                <w:szCs w:val="21"/>
              </w:rPr>
              <w:t xml:space="preserve">2 </w:t>
            </w:r>
            <w:r>
              <w:rPr>
                <w:sz w:val="21"/>
                <w:szCs w:val="21"/>
              </w:rPr>
              <w:t xml:space="preserve">  </w:t>
            </w:r>
            <w:r>
              <w:rPr>
                <w:rFonts w:hint="eastAsia"/>
                <w:sz w:val="21"/>
                <w:szCs w:val="21"/>
              </w:rPr>
              <w:t>能力要求。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3</w:t>
            </w:r>
          </w:p>
        </w:tc>
        <w:tc>
          <w:tcPr>
            <w:tcW w:w="2808" w:type="dxa"/>
            <w:vAlign w:val="center"/>
          </w:tcPr>
          <w:p>
            <w:pPr>
              <w:adjustRightInd w:val="0"/>
              <w:snapToGrid w:val="0"/>
              <w:spacing w:line="320" w:lineRule="exact"/>
              <w:jc w:val="left"/>
              <w:rPr>
                <w:szCs w:val="21"/>
              </w:rPr>
            </w:pPr>
            <w:r>
              <w:rPr>
                <w:rFonts w:hint="eastAsia"/>
                <w:szCs w:val="21"/>
              </w:rPr>
              <w:t>毕业要求3：素质要求</w:t>
            </w:r>
          </w:p>
        </w:tc>
        <w:tc>
          <w:tcPr>
            <w:tcW w:w="5670" w:type="dxa"/>
            <w:vAlign w:val="center"/>
          </w:tcPr>
          <w:p>
            <w:pPr>
              <w:pStyle w:val="21"/>
              <w:adjustRightInd w:val="0"/>
              <w:snapToGrid w:val="0"/>
              <w:spacing w:line="320" w:lineRule="exact"/>
              <w:ind w:left="420" w:hanging="420" w:hangingChars="200"/>
              <w:jc w:val="left"/>
              <w:rPr>
                <w:rFonts w:eastAsia="宋体"/>
                <w:sz w:val="21"/>
                <w:szCs w:val="21"/>
              </w:rPr>
            </w:pPr>
            <w:r>
              <w:rPr>
                <w:rFonts w:hint="eastAsia" w:eastAsia="宋体"/>
                <w:sz w:val="21"/>
                <w:szCs w:val="21"/>
              </w:rPr>
              <w:t xml:space="preserve">3 </w:t>
            </w:r>
            <w:r>
              <w:rPr>
                <w:rFonts w:eastAsia="宋体"/>
                <w:sz w:val="21"/>
                <w:szCs w:val="21"/>
              </w:rPr>
              <w:t xml:space="preserve">  </w:t>
            </w:r>
            <w:r>
              <w:rPr>
                <w:rFonts w:hint="eastAsia" w:eastAsia="宋体"/>
                <w:sz w:val="21"/>
                <w:szCs w:val="21"/>
              </w:rPr>
              <w:t>素质要求。具有正确的人生观、价值观和世界观；具有良好的道德修养、职业素养、法治意识和社会责任感；具有持续的创新精神、创业意识；具有完整的知识结构和良好的科学素养、人文素养；具有较高的文化品位和审美情趣；具有良好的身体素质和健康的心理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4</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szCs w:val="21"/>
              </w:rPr>
              <w:t>毕业要求</w:t>
            </w:r>
            <w:r>
              <w:rPr>
                <w:rFonts w:ascii="宋体" w:hAnsi="宋体"/>
                <w:szCs w:val="21"/>
              </w:rPr>
              <w:t>2</w:t>
            </w:r>
            <w:r>
              <w:rPr>
                <w:rFonts w:hint="eastAsia" w:ascii="宋体" w:hAnsi="宋体"/>
                <w:szCs w:val="21"/>
              </w:rPr>
              <w:t>：能力要求</w:t>
            </w:r>
          </w:p>
        </w:tc>
        <w:tc>
          <w:tcPr>
            <w:tcW w:w="5670" w:type="dxa"/>
            <w:vAlign w:val="center"/>
          </w:tcPr>
          <w:p>
            <w:pPr>
              <w:tabs>
                <w:tab w:val="left" w:pos="3570"/>
              </w:tabs>
              <w:adjustRightInd w:val="0"/>
              <w:snapToGrid w:val="0"/>
              <w:spacing w:line="320" w:lineRule="exact"/>
              <w:ind w:left="420" w:hanging="420" w:hangingChars="200"/>
              <w:rPr>
                <w:rFonts w:ascii="宋体" w:hAnsi="宋体"/>
                <w:szCs w:val="21"/>
              </w:rPr>
            </w:pPr>
            <w:r>
              <w:rPr>
                <w:rFonts w:hint="eastAsia" w:ascii="宋体" w:hAnsi="宋体"/>
                <w:szCs w:val="21"/>
              </w:rPr>
              <w:t>2   能力要求。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bl>
    <w:p>
      <w:pPr>
        <w:widowControl/>
        <w:spacing w:before="156" w:beforeLines="50" w:after="156" w:afterLines="50" w:line="360" w:lineRule="auto"/>
        <w:jc w:val="left"/>
        <w:outlineLvl w:val="0"/>
        <w:rPr>
          <w:rFonts w:ascii="黑体" w:hAnsi="黑体" w:eastAsia="黑体"/>
          <w:sz w:val="30"/>
          <w:szCs w:val="30"/>
        </w:rPr>
      </w:pPr>
      <w:bookmarkStart w:id="4" w:name="_Toc3904105"/>
      <w:bookmarkStart w:id="5" w:name="_Toc4406547"/>
      <w:bookmarkStart w:id="6" w:name="_Toc2371665"/>
    </w:p>
    <w:p>
      <w:pPr>
        <w:widowControl/>
        <w:spacing w:before="156" w:beforeLines="50" w:after="156" w:afterLines="50" w:line="360" w:lineRule="auto"/>
        <w:jc w:val="left"/>
        <w:outlineLvl w:val="0"/>
        <w:rPr>
          <w:rFonts w:ascii="黑体" w:hAnsi="黑体" w:eastAsia="黑体"/>
          <w:sz w:val="30"/>
          <w:szCs w:val="30"/>
        </w:rPr>
      </w:pPr>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8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2742"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教学要求</w:t>
            </w:r>
          </w:p>
        </w:tc>
        <w:tc>
          <w:tcPr>
            <w:tcW w:w="283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教学重点</w:t>
            </w:r>
          </w:p>
        </w:tc>
        <w:tc>
          <w:tcPr>
            <w:tcW w:w="19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871" w:type="dxa"/>
            <w:vAlign w:val="center"/>
          </w:tcPr>
          <w:p>
            <w:pPr>
              <w:adjustRightInd w:val="0"/>
              <w:snapToGrid w:val="0"/>
              <w:spacing w:line="320" w:lineRule="exact"/>
              <w:jc w:val="center"/>
              <w:rPr>
                <w:rFonts w:asciiTheme="minorEastAsia" w:hAnsiTheme="minorEastAsia"/>
                <w:szCs w:val="21"/>
              </w:rPr>
            </w:pPr>
            <w:r>
              <w:rPr>
                <w:rFonts w:asciiTheme="minorEastAsia" w:hAnsiTheme="minorEastAsia"/>
                <w:szCs w:val="21"/>
              </w:rPr>
              <w:t>第</w:t>
            </w:r>
            <w:r>
              <w:rPr>
                <w:rFonts w:hint="eastAsia" w:asciiTheme="minorEastAsia" w:hAnsiTheme="minorEastAsia"/>
                <w:szCs w:val="21"/>
              </w:rPr>
              <w:t>一</w:t>
            </w:r>
            <w:r>
              <w:rPr>
                <w:rFonts w:asciiTheme="minorEastAsia" w:hAnsiTheme="minorEastAsia"/>
                <w:szCs w:val="21"/>
              </w:rPr>
              <w:t>章</w:t>
            </w:r>
            <w:r>
              <w:rPr>
                <w:rFonts w:hint="eastAsia" w:asciiTheme="minorEastAsia" w:hAnsiTheme="minorEastAsia"/>
                <w:szCs w:val="21"/>
              </w:rPr>
              <w:t xml:space="preserve"> 导论</w:t>
            </w:r>
          </w:p>
        </w:tc>
        <w:tc>
          <w:tcPr>
            <w:tcW w:w="2742"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1.了解管理学课程的内容体系与学习方法</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2.理解管理的内涵与本质</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3.掌握组织中的管理者分类</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4.熟悉管理职能、管理角色与管理技能的相关知识</w:t>
            </w:r>
          </w:p>
        </w:tc>
        <w:tc>
          <w:tcPr>
            <w:tcW w:w="2838" w:type="dxa"/>
            <w:vAlign w:val="center"/>
          </w:tcPr>
          <w:p>
            <w:pPr>
              <w:adjustRightInd w:val="0"/>
              <w:snapToGrid w:val="0"/>
              <w:spacing w:line="320" w:lineRule="exact"/>
              <w:ind w:left="210" w:hanging="210" w:hangingChars="100"/>
              <w:jc w:val="left"/>
              <w:rPr>
                <w:rFonts w:asciiTheme="minorEastAsia" w:hAnsiTheme="minorEastAsia"/>
                <w:szCs w:val="21"/>
              </w:rPr>
            </w:pPr>
            <w:r>
              <w:rPr>
                <w:rFonts w:hint="eastAsia" w:asciiTheme="minorEastAsia" w:hAnsiTheme="minorEastAsia"/>
                <w:szCs w:val="21"/>
              </w:rPr>
              <w:t>1.管理的内涵与本质</w:t>
            </w:r>
          </w:p>
          <w:p>
            <w:pPr>
              <w:adjustRightInd w:val="0"/>
              <w:snapToGrid w:val="0"/>
              <w:spacing w:line="320" w:lineRule="exact"/>
              <w:ind w:left="210" w:hanging="210" w:hangingChars="100"/>
              <w:jc w:val="left"/>
              <w:rPr>
                <w:rFonts w:asciiTheme="minorEastAsia" w:hAnsiTheme="minorEastAsia"/>
                <w:szCs w:val="21"/>
              </w:rPr>
            </w:pPr>
            <w:r>
              <w:rPr>
                <w:rFonts w:hint="eastAsia" w:asciiTheme="minorEastAsia" w:hAnsiTheme="minorEastAsia"/>
                <w:szCs w:val="21"/>
              </w:rPr>
              <w:t>2.管理有效性</w:t>
            </w:r>
          </w:p>
          <w:p>
            <w:pPr>
              <w:adjustRightInd w:val="0"/>
              <w:snapToGrid w:val="0"/>
              <w:spacing w:line="320" w:lineRule="exact"/>
              <w:ind w:left="210" w:hanging="210" w:hangingChars="100"/>
              <w:jc w:val="left"/>
              <w:rPr>
                <w:rFonts w:asciiTheme="minorEastAsia" w:hAnsiTheme="minorEastAsia"/>
                <w:szCs w:val="21"/>
              </w:rPr>
            </w:pPr>
            <w:r>
              <w:rPr>
                <w:rFonts w:hint="eastAsia" w:asciiTheme="minorEastAsia" w:hAnsiTheme="minorEastAsia"/>
                <w:szCs w:val="21"/>
              </w:rPr>
              <w:t>3.管理工作的内容</w:t>
            </w:r>
          </w:p>
          <w:p>
            <w:pPr>
              <w:adjustRightInd w:val="0"/>
              <w:snapToGrid w:val="0"/>
              <w:spacing w:line="320" w:lineRule="exact"/>
              <w:ind w:left="210" w:hanging="210" w:hangingChars="100"/>
              <w:jc w:val="left"/>
              <w:rPr>
                <w:rFonts w:ascii="宋体" w:hAnsi="宋体" w:eastAsia="宋体"/>
                <w:szCs w:val="21"/>
              </w:rPr>
            </w:pPr>
            <w:r>
              <w:rPr>
                <w:rFonts w:hint="eastAsia" w:asciiTheme="minorEastAsia" w:hAnsiTheme="minorEastAsia"/>
                <w:szCs w:val="21"/>
              </w:rPr>
              <w:t>4.管理的基本原理</w:t>
            </w:r>
          </w:p>
        </w:tc>
        <w:tc>
          <w:tcPr>
            <w:tcW w:w="1975"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1.管理有效性</w:t>
            </w:r>
          </w:p>
          <w:p>
            <w:pPr>
              <w:adjustRightInd w:val="0"/>
              <w:snapToGrid w:val="0"/>
              <w:spacing w:line="320" w:lineRule="exact"/>
              <w:ind w:left="210" w:hanging="210" w:hangingChars="100"/>
              <w:rPr>
                <w:rFonts w:ascii="宋体" w:hAnsi="宋体" w:eastAsia="宋体"/>
                <w:szCs w:val="21"/>
              </w:rPr>
            </w:pPr>
            <w:r>
              <w:rPr>
                <w:rFonts w:hint="eastAsia" w:asciiTheme="minorEastAsia" w:hAnsiTheme="minorEastAsia"/>
                <w:szCs w:val="21"/>
              </w:rPr>
              <w:t>2.管理工作的内容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871" w:type="dxa"/>
            <w:vAlign w:val="center"/>
          </w:tcPr>
          <w:p>
            <w:pPr>
              <w:adjustRightInd w:val="0"/>
              <w:snapToGrid w:val="0"/>
              <w:spacing w:line="320" w:lineRule="exact"/>
              <w:rPr>
                <w:rFonts w:asciiTheme="minorEastAsia" w:hAnsiTheme="minorEastAsia"/>
                <w:szCs w:val="21"/>
              </w:rPr>
            </w:pPr>
            <w:r>
              <w:rPr>
                <w:rFonts w:hint="eastAsia" w:asciiTheme="minorEastAsia" w:hAnsiTheme="minorEastAsia"/>
                <w:szCs w:val="21"/>
              </w:rPr>
              <w:t>第二章 管理理论的历史演变</w:t>
            </w:r>
          </w:p>
        </w:tc>
        <w:tc>
          <w:tcPr>
            <w:tcW w:w="2742" w:type="dxa"/>
            <w:vAlign w:val="center"/>
          </w:tcPr>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1.了解管理理论的发展脉络</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2.熟悉东西方早期管理思想</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3.掌握古典管理理论和行为管理理论时期的主要观点</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4.熟悉现代管理理论的主要流派</w:t>
            </w:r>
          </w:p>
        </w:tc>
        <w:tc>
          <w:tcPr>
            <w:tcW w:w="2838" w:type="dxa"/>
            <w:vAlign w:val="center"/>
          </w:tcPr>
          <w:p>
            <w:pPr>
              <w:adjustRightInd w:val="0"/>
              <w:snapToGrid w:val="0"/>
              <w:spacing w:line="320" w:lineRule="exact"/>
              <w:ind w:left="210" w:hanging="210" w:hangingChars="100"/>
              <w:jc w:val="left"/>
              <w:rPr>
                <w:rFonts w:asciiTheme="minorEastAsia" w:hAnsiTheme="minorEastAsia"/>
                <w:szCs w:val="21"/>
              </w:rPr>
            </w:pPr>
            <w:r>
              <w:rPr>
                <w:rFonts w:hint="eastAsia" w:asciiTheme="minorEastAsia" w:hAnsiTheme="minorEastAsia"/>
                <w:szCs w:val="21"/>
              </w:rPr>
              <w:t>1.泰罗的科学管理理论</w:t>
            </w:r>
          </w:p>
          <w:p>
            <w:pPr>
              <w:adjustRightInd w:val="0"/>
              <w:snapToGrid w:val="0"/>
              <w:spacing w:line="320" w:lineRule="exact"/>
              <w:ind w:left="210" w:hanging="210" w:hangingChars="100"/>
              <w:jc w:val="left"/>
              <w:rPr>
                <w:rFonts w:asciiTheme="minorEastAsia" w:hAnsiTheme="minorEastAsia"/>
                <w:szCs w:val="21"/>
              </w:rPr>
            </w:pPr>
            <w:r>
              <w:rPr>
                <w:rFonts w:hint="eastAsia" w:asciiTheme="minorEastAsia" w:hAnsiTheme="minorEastAsia"/>
                <w:szCs w:val="21"/>
              </w:rPr>
              <w:t>2.法约尔的一般管理理论</w:t>
            </w:r>
          </w:p>
          <w:p>
            <w:pPr>
              <w:adjustRightInd w:val="0"/>
              <w:snapToGrid w:val="0"/>
              <w:spacing w:line="320" w:lineRule="exact"/>
              <w:ind w:left="210" w:hanging="210" w:hangingChars="100"/>
              <w:jc w:val="left"/>
              <w:rPr>
                <w:rFonts w:asciiTheme="minorEastAsia" w:hAnsiTheme="minorEastAsia"/>
                <w:szCs w:val="21"/>
              </w:rPr>
            </w:pPr>
            <w:r>
              <w:rPr>
                <w:rFonts w:hint="eastAsia" w:asciiTheme="minorEastAsia" w:hAnsiTheme="minorEastAsia"/>
                <w:szCs w:val="21"/>
              </w:rPr>
              <w:t>3.韦伯的行政组织体系理论</w:t>
            </w:r>
          </w:p>
          <w:p>
            <w:pPr>
              <w:adjustRightInd w:val="0"/>
              <w:snapToGrid w:val="0"/>
              <w:spacing w:line="320" w:lineRule="exact"/>
              <w:ind w:left="210" w:hanging="210" w:hangingChars="100"/>
              <w:jc w:val="left"/>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.梅奥的人际关系学说</w:t>
            </w:r>
          </w:p>
        </w:tc>
        <w:tc>
          <w:tcPr>
            <w:tcW w:w="1975"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1.科学管理理论</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2.理想的行政组织体系理论</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3.现代管理流派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87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第三章 管理环境</w:t>
            </w:r>
          </w:p>
        </w:tc>
        <w:tc>
          <w:tcPr>
            <w:tcW w:w="2742" w:type="dxa"/>
            <w:vAlign w:val="center"/>
          </w:tcPr>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1.理解管理环境与管理活动的关系以及管理环境对管理活动的意义</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2.了解组织文化的三层次结构及功能</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3.熟悉一般环境、具体环境、行业环境和内部环境所包含的子因素</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4.掌握各类环境因素的分析工具</w:t>
            </w:r>
          </w:p>
        </w:tc>
        <w:tc>
          <w:tcPr>
            <w:tcW w:w="2838" w:type="dxa"/>
            <w:vAlign w:val="center"/>
          </w:tcPr>
          <w:p>
            <w:pPr>
              <w:adjustRightInd w:val="0"/>
              <w:snapToGrid w:val="0"/>
              <w:spacing w:line="320" w:lineRule="exact"/>
              <w:ind w:left="210" w:hanging="210" w:hangingChars="100"/>
              <w:jc w:val="left"/>
              <w:rPr>
                <w:rFonts w:ascii="宋体" w:hAnsi="宋体" w:eastAsia="宋体"/>
                <w:szCs w:val="21"/>
              </w:rPr>
            </w:pPr>
            <w:r>
              <w:rPr>
                <w:rFonts w:hint="eastAsia" w:ascii="宋体" w:hAnsi="宋体" w:eastAsia="宋体"/>
                <w:szCs w:val="21"/>
              </w:rPr>
              <w:t>1.环境分析框架</w:t>
            </w:r>
          </w:p>
          <w:p>
            <w:pPr>
              <w:adjustRightInd w:val="0"/>
              <w:snapToGrid w:val="0"/>
              <w:spacing w:line="320" w:lineRule="exact"/>
              <w:ind w:left="210" w:hanging="210" w:hangingChars="100"/>
              <w:jc w:val="left"/>
              <w:rPr>
                <w:rFonts w:ascii="宋体" w:hAnsi="宋体" w:eastAsia="宋体"/>
                <w:szCs w:val="21"/>
              </w:rPr>
            </w:pPr>
            <w:r>
              <w:rPr>
                <w:rFonts w:hint="eastAsia" w:ascii="宋体" w:hAnsi="宋体" w:eastAsia="宋体"/>
                <w:szCs w:val="21"/>
              </w:rPr>
              <w:t>2.环境分析工具</w:t>
            </w:r>
          </w:p>
          <w:p>
            <w:pPr>
              <w:adjustRightInd w:val="0"/>
              <w:snapToGrid w:val="0"/>
              <w:spacing w:line="320" w:lineRule="exact"/>
              <w:ind w:left="210" w:hanging="210" w:hangingChars="100"/>
              <w:jc w:val="left"/>
              <w:rPr>
                <w:rFonts w:ascii="宋体" w:hAnsi="宋体" w:eastAsia="宋体"/>
                <w:szCs w:val="21"/>
              </w:rPr>
            </w:pPr>
            <w:r>
              <w:rPr>
                <w:rFonts w:hint="eastAsia" w:ascii="宋体" w:hAnsi="宋体" w:eastAsia="宋体"/>
                <w:szCs w:val="21"/>
              </w:rPr>
              <w:t>3.组织文化</w:t>
            </w:r>
          </w:p>
        </w:tc>
        <w:tc>
          <w:tcPr>
            <w:tcW w:w="1975"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1.</w:t>
            </w:r>
            <w:r>
              <w:rPr>
                <w:rFonts w:hint="eastAsia"/>
              </w:rPr>
              <w:t xml:space="preserve"> </w:t>
            </w:r>
            <w:r>
              <w:rPr>
                <w:rFonts w:hint="eastAsia" w:ascii="宋体" w:hAnsi="宋体" w:eastAsia="宋体"/>
                <w:szCs w:val="21"/>
              </w:rPr>
              <w:t>SWOT分析法</w:t>
            </w:r>
          </w:p>
          <w:p>
            <w:pPr>
              <w:adjustRightInd w:val="0"/>
              <w:snapToGrid w:val="0"/>
              <w:spacing w:line="320" w:lineRule="exact"/>
              <w:rPr>
                <w:rFonts w:ascii="宋体" w:hAnsi="宋体" w:eastAsia="宋体"/>
                <w:szCs w:val="21"/>
              </w:rPr>
            </w:pPr>
            <w:r>
              <w:rPr>
                <w:rFonts w:ascii="宋体" w:hAnsi="宋体" w:eastAsia="宋体"/>
                <w:szCs w:val="21"/>
              </w:rPr>
              <w:t>2</w:t>
            </w:r>
            <w:r>
              <w:rPr>
                <w:rFonts w:hint="eastAsia" w:ascii="宋体" w:hAnsi="宋体" w:eastAsia="宋体"/>
                <w:szCs w:val="21"/>
              </w:rPr>
              <w:t>.“五力”模型</w:t>
            </w:r>
          </w:p>
          <w:p>
            <w:pPr>
              <w:adjustRightInd w:val="0"/>
              <w:snapToGrid w:val="0"/>
              <w:spacing w:line="320" w:lineRule="exact"/>
              <w:rPr>
                <w:rFonts w:ascii="宋体" w:hAnsi="宋体" w:eastAsia="宋体"/>
                <w:szCs w:val="21"/>
              </w:rPr>
            </w:pPr>
            <w:r>
              <w:rPr>
                <w:rFonts w:ascii="宋体" w:hAnsi="宋体" w:eastAsia="宋体"/>
                <w:szCs w:val="21"/>
              </w:rPr>
              <w:t>3</w:t>
            </w:r>
            <w:r>
              <w:rPr>
                <w:rFonts w:hint="eastAsia" w:ascii="宋体" w:hAnsi="宋体" w:eastAsia="宋体"/>
                <w:szCs w:val="21"/>
              </w:rPr>
              <w:t>.组织文化的层次结构</w:t>
            </w:r>
          </w:p>
          <w:p>
            <w:pPr>
              <w:adjustRightInd w:val="0"/>
              <w:snapToGrid w:val="0"/>
              <w:spacing w:line="320" w:lineRule="exact"/>
              <w:rPr>
                <w:rFonts w:ascii="宋体" w:hAnsi="宋体" w:eastAsia="宋体"/>
                <w:szCs w:val="21"/>
              </w:rPr>
            </w:pPr>
            <w:r>
              <w:rPr>
                <w:rFonts w:hint="eastAsia" w:ascii="宋体" w:hAnsi="宋体" w:eastAsia="宋体"/>
                <w:szCs w:val="21"/>
              </w:rPr>
              <w:t>4.组织文化的塑造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871"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第四章 决策</w:t>
            </w:r>
          </w:p>
        </w:tc>
        <w:tc>
          <w:tcPr>
            <w:tcW w:w="2742"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1.理解决策的类型以及制定过程</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2.熟悉决策的影响因素</w:t>
            </w:r>
          </w:p>
          <w:p>
            <w:pPr>
              <w:adjustRightInd w:val="0"/>
              <w:snapToGrid w:val="0"/>
              <w:spacing w:line="320" w:lineRule="exact"/>
              <w:ind w:left="210" w:hanging="210" w:hangingChars="100"/>
              <w:rPr>
                <w:rFonts w:ascii="宋体" w:hAnsi="宋体" w:eastAsia="宋体"/>
                <w:szCs w:val="21"/>
              </w:rPr>
            </w:pPr>
            <w:r>
              <w:rPr>
                <w:rFonts w:ascii="宋体" w:hAnsi="宋体" w:eastAsia="宋体"/>
                <w:szCs w:val="21"/>
              </w:rPr>
              <w:t>3</w:t>
            </w:r>
            <w:r>
              <w:rPr>
                <w:rFonts w:hint="eastAsia" w:ascii="宋体" w:hAnsi="宋体" w:eastAsia="宋体"/>
                <w:szCs w:val="21"/>
              </w:rPr>
              <w:t>.掌握确定型决策、风险型决策和不确定型决策的常用方法</w:t>
            </w:r>
          </w:p>
          <w:p>
            <w:pPr>
              <w:adjustRightInd w:val="0"/>
              <w:snapToGrid w:val="0"/>
              <w:spacing w:line="320" w:lineRule="exact"/>
              <w:ind w:left="210" w:hanging="210" w:hangingChars="100"/>
              <w:rPr>
                <w:rFonts w:ascii="宋体" w:hAnsi="宋体" w:eastAsia="宋体"/>
                <w:szCs w:val="21"/>
              </w:rPr>
            </w:pPr>
            <w:r>
              <w:rPr>
                <w:rFonts w:ascii="宋体" w:hAnsi="宋体" w:eastAsia="宋体"/>
                <w:szCs w:val="21"/>
              </w:rPr>
              <w:t>4</w:t>
            </w:r>
            <w:r>
              <w:rPr>
                <w:rFonts w:hint="eastAsia" w:ascii="宋体" w:hAnsi="宋体" w:eastAsia="宋体"/>
                <w:szCs w:val="21"/>
              </w:rPr>
              <w:t>.了解决策追踪与调整的程序与方法</w:t>
            </w:r>
          </w:p>
          <w:p>
            <w:pPr>
              <w:adjustRightInd w:val="0"/>
              <w:snapToGrid w:val="0"/>
              <w:spacing w:line="320" w:lineRule="exact"/>
              <w:ind w:left="210" w:hanging="210" w:hangingChars="100"/>
              <w:rPr>
                <w:rFonts w:ascii="宋体" w:hAnsi="宋体" w:eastAsia="宋体"/>
                <w:szCs w:val="21"/>
              </w:rPr>
            </w:pPr>
          </w:p>
        </w:tc>
        <w:tc>
          <w:tcPr>
            <w:tcW w:w="2838" w:type="dxa"/>
            <w:vAlign w:val="center"/>
          </w:tcPr>
          <w:p>
            <w:pPr>
              <w:adjustRightInd w:val="0"/>
              <w:snapToGrid w:val="0"/>
              <w:spacing w:line="320" w:lineRule="exact"/>
              <w:ind w:left="210" w:hanging="210" w:hangingChars="100"/>
              <w:jc w:val="left"/>
              <w:rPr>
                <w:rFonts w:ascii="宋体" w:hAnsi="宋体" w:eastAsia="宋体"/>
                <w:szCs w:val="21"/>
              </w:rPr>
            </w:pPr>
            <w:r>
              <w:rPr>
                <w:rFonts w:hint="eastAsia" w:ascii="宋体" w:hAnsi="宋体" w:eastAsia="宋体"/>
                <w:szCs w:val="21"/>
              </w:rPr>
              <w:t>1.群体决策方法</w:t>
            </w:r>
          </w:p>
          <w:p>
            <w:pPr>
              <w:adjustRightInd w:val="0"/>
              <w:snapToGrid w:val="0"/>
              <w:spacing w:line="320" w:lineRule="exact"/>
              <w:ind w:left="210" w:hanging="210" w:hangingChars="100"/>
              <w:jc w:val="left"/>
              <w:rPr>
                <w:rFonts w:ascii="宋体" w:hAnsi="宋体" w:eastAsia="宋体"/>
                <w:szCs w:val="21"/>
              </w:rPr>
            </w:pPr>
            <w:r>
              <w:rPr>
                <w:rFonts w:hint="eastAsia" w:ascii="宋体" w:hAnsi="宋体" w:eastAsia="宋体"/>
                <w:szCs w:val="21"/>
              </w:rPr>
              <w:t>2.量本利分析法</w:t>
            </w:r>
          </w:p>
          <w:p>
            <w:pPr>
              <w:adjustRightInd w:val="0"/>
              <w:snapToGrid w:val="0"/>
              <w:spacing w:line="320" w:lineRule="exact"/>
              <w:ind w:left="210" w:hanging="210" w:hangingChars="100"/>
              <w:jc w:val="left"/>
              <w:rPr>
                <w:rFonts w:ascii="宋体" w:hAnsi="宋体" w:eastAsia="宋体"/>
                <w:szCs w:val="21"/>
              </w:rPr>
            </w:pPr>
            <w:r>
              <w:rPr>
                <w:rFonts w:hint="eastAsia" w:ascii="宋体" w:hAnsi="宋体" w:eastAsia="宋体"/>
                <w:szCs w:val="21"/>
              </w:rPr>
              <w:t>3.决策树形法</w:t>
            </w:r>
          </w:p>
          <w:p>
            <w:pPr>
              <w:adjustRightInd w:val="0"/>
              <w:snapToGrid w:val="0"/>
              <w:spacing w:line="320" w:lineRule="exact"/>
              <w:ind w:left="210" w:hanging="210" w:hangingChars="100"/>
              <w:jc w:val="left"/>
              <w:rPr>
                <w:rFonts w:ascii="宋体" w:hAnsi="宋体" w:eastAsia="宋体"/>
                <w:szCs w:val="21"/>
              </w:rPr>
            </w:pPr>
            <w:r>
              <w:rPr>
                <w:rFonts w:hint="eastAsia" w:ascii="宋体" w:hAnsi="宋体" w:eastAsia="宋体"/>
                <w:szCs w:val="21"/>
              </w:rPr>
              <w:t>4.风险型决策方法</w:t>
            </w:r>
          </w:p>
        </w:tc>
        <w:tc>
          <w:tcPr>
            <w:tcW w:w="1975"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1.决策的影响因素</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2.决策的追踪与调整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5</w:t>
            </w:r>
          </w:p>
        </w:tc>
        <w:tc>
          <w:tcPr>
            <w:tcW w:w="1871" w:type="dxa"/>
            <w:vAlign w:val="center"/>
          </w:tcPr>
          <w:p>
            <w:pPr>
              <w:adjustRightInd w:val="0"/>
              <w:snapToGrid w:val="0"/>
              <w:spacing w:line="360" w:lineRule="exact"/>
              <w:jc w:val="center"/>
              <w:rPr>
                <w:rFonts w:ascii="宋体" w:hAnsi="宋体" w:eastAsia="宋体"/>
                <w:szCs w:val="21"/>
              </w:rPr>
            </w:pPr>
            <w:r>
              <w:rPr>
                <w:rFonts w:hint="eastAsia" w:ascii="宋体" w:hAnsi="宋体" w:eastAsia="宋体"/>
                <w:szCs w:val="21"/>
              </w:rPr>
              <w:t>第五章 计划</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1.了解计划的特征和类型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2.熟悉计划的编制过程</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3</w:t>
            </w:r>
            <w:r>
              <w:rPr>
                <w:rFonts w:hint="eastAsia" w:ascii="宋体" w:hAnsi="宋体" w:eastAsia="宋体"/>
                <w:szCs w:val="21"/>
              </w:rPr>
              <w:t>.掌握目标管理、P</w:t>
            </w:r>
            <w:r>
              <w:rPr>
                <w:rFonts w:ascii="宋体" w:hAnsi="宋体" w:eastAsia="宋体"/>
                <w:szCs w:val="21"/>
              </w:rPr>
              <w:t>DCA</w:t>
            </w:r>
            <w:r>
              <w:rPr>
                <w:rFonts w:hint="eastAsia" w:ascii="宋体" w:hAnsi="宋体" w:eastAsia="宋体"/>
                <w:szCs w:val="21"/>
              </w:rPr>
              <w:t>循环的核心思想和实施过程</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4</w:t>
            </w:r>
            <w:r>
              <w:rPr>
                <w:rFonts w:hint="eastAsia" w:ascii="宋体" w:hAnsi="宋体" w:eastAsia="宋体"/>
                <w:szCs w:val="21"/>
              </w:rPr>
              <w:t>.掌握滚动计划法和计划评审技术的运用</w:t>
            </w:r>
          </w:p>
          <w:p>
            <w:pPr>
              <w:adjustRightInd w:val="0"/>
              <w:snapToGrid w:val="0"/>
              <w:spacing w:line="360" w:lineRule="exact"/>
              <w:ind w:left="210" w:hanging="210" w:hangingChars="100"/>
              <w:rPr>
                <w:rFonts w:ascii="宋体" w:hAnsi="宋体" w:eastAsia="宋体"/>
                <w:szCs w:val="21"/>
              </w:rPr>
            </w:pPr>
          </w:p>
        </w:tc>
        <w:tc>
          <w:tcPr>
            <w:tcW w:w="2838" w:type="dxa"/>
            <w:vAlign w:val="center"/>
          </w:tcPr>
          <w:p>
            <w:pPr>
              <w:adjustRightInd w:val="0"/>
              <w:snapToGrid w:val="0"/>
              <w:spacing w:line="360" w:lineRule="exact"/>
              <w:ind w:left="210" w:hanging="210" w:hangingChars="100"/>
              <w:jc w:val="left"/>
              <w:rPr>
                <w:rFonts w:ascii="宋体" w:hAnsi="宋体" w:eastAsia="宋体"/>
                <w:szCs w:val="21"/>
              </w:rPr>
            </w:pPr>
            <w:r>
              <w:rPr>
                <w:rFonts w:hint="eastAsia" w:ascii="宋体" w:hAnsi="宋体" w:eastAsia="宋体"/>
                <w:szCs w:val="21"/>
              </w:rPr>
              <w:t>1.目标管理</w:t>
            </w:r>
          </w:p>
          <w:p>
            <w:pPr>
              <w:adjustRightInd w:val="0"/>
              <w:snapToGrid w:val="0"/>
              <w:spacing w:line="360" w:lineRule="exact"/>
              <w:ind w:left="210" w:hanging="210" w:hangingChars="100"/>
              <w:jc w:val="left"/>
              <w:rPr>
                <w:rFonts w:ascii="宋体" w:hAnsi="宋体" w:eastAsia="宋体"/>
                <w:szCs w:val="21"/>
              </w:rPr>
            </w:pPr>
            <w:r>
              <w:rPr>
                <w:rFonts w:hint="eastAsia" w:ascii="宋体" w:hAnsi="宋体" w:eastAsia="宋体"/>
                <w:szCs w:val="21"/>
              </w:rPr>
              <w:t>2.P</w:t>
            </w:r>
            <w:r>
              <w:rPr>
                <w:rFonts w:ascii="宋体" w:hAnsi="宋体" w:eastAsia="宋体"/>
                <w:szCs w:val="21"/>
              </w:rPr>
              <w:t>DCA</w:t>
            </w:r>
            <w:r>
              <w:rPr>
                <w:rFonts w:hint="eastAsia" w:ascii="宋体" w:hAnsi="宋体" w:eastAsia="宋体"/>
                <w:szCs w:val="21"/>
              </w:rPr>
              <w:t>循环</w:t>
            </w:r>
          </w:p>
          <w:p>
            <w:pPr>
              <w:adjustRightInd w:val="0"/>
              <w:snapToGrid w:val="0"/>
              <w:spacing w:line="360" w:lineRule="exact"/>
              <w:ind w:left="210" w:hanging="210" w:hangingChars="100"/>
              <w:jc w:val="left"/>
              <w:rPr>
                <w:rFonts w:ascii="宋体" w:hAnsi="宋体" w:eastAsia="宋体"/>
                <w:szCs w:val="21"/>
              </w:rPr>
            </w:pPr>
            <w:r>
              <w:rPr>
                <w:rFonts w:hint="eastAsia" w:ascii="宋体" w:hAnsi="宋体" w:eastAsia="宋体"/>
                <w:szCs w:val="21"/>
              </w:rPr>
              <w:t>3.滚动计划法</w:t>
            </w:r>
          </w:p>
          <w:p>
            <w:pPr>
              <w:adjustRightInd w:val="0"/>
              <w:snapToGrid w:val="0"/>
              <w:spacing w:line="360" w:lineRule="exact"/>
              <w:ind w:left="210" w:hanging="210" w:hangingChars="100"/>
              <w:jc w:val="left"/>
              <w:rPr>
                <w:rFonts w:ascii="宋体" w:hAnsi="宋体" w:eastAsia="宋体"/>
                <w:szCs w:val="21"/>
              </w:rPr>
            </w:pPr>
            <w:r>
              <w:rPr>
                <w:rFonts w:hint="eastAsia" w:ascii="宋体" w:hAnsi="宋体" w:eastAsia="宋体"/>
                <w:szCs w:val="21"/>
              </w:rPr>
              <w:t>4.计划评审技术</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1.目标管理</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w:t>
            </w:r>
            <w:r>
              <w:rPr>
                <w:rFonts w:hint="eastAsia"/>
              </w:rPr>
              <w:t xml:space="preserve"> </w:t>
            </w:r>
            <w:r>
              <w:rPr>
                <w:rFonts w:hint="eastAsia" w:ascii="宋体" w:hAnsi="宋体" w:eastAsia="宋体"/>
                <w:szCs w:val="21"/>
              </w:rPr>
              <w:t>PDCA循环</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3.计划评审技术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6</w:t>
            </w:r>
          </w:p>
        </w:tc>
        <w:tc>
          <w:tcPr>
            <w:tcW w:w="1871" w:type="dxa"/>
            <w:vAlign w:val="center"/>
          </w:tcPr>
          <w:p>
            <w:pPr>
              <w:adjustRightInd w:val="0"/>
              <w:snapToGrid w:val="0"/>
              <w:spacing w:line="360" w:lineRule="exact"/>
              <w:jc w:val="center"/>
              <w:rPr>
                <w:rFonts w:ascii="宋体" w:hAnsi="宋体" w:eastAsia="宋体"/>
                <w:szCs w:val="21"/>
              </w:rPr>
            </w:pPr>
            <w:r>
              <w:rPr>
                <w:rFonts w:hint="eastAsia" w:ascii="宋体" w:hAnsi="宋体" w:eastAsia="宋体"/>
                <w:szCs w:val="21"/>
              </w:rPr>
              <w:t>第六章 组织</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1.了解组织设计的任务</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2.熟悉组织设计的原则和影响因素</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3.掌握岗位设计、部门设计和层级设计</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4.掌握基本的组织结构形式</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5.掌握职权类型、授权和集权分权</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6.熟悉人员配备的主要工作内容</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1.组织设计的原则</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2.部门设计和层级设计</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3.基本的组织结构形式</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4.直线职权与参谋职权的整合</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1.组织设计的影响因素</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2.组织结构的演变趋势</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3.授权与分权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7</w:t>
            </w:r>
          </w:p>
        </w:tc>
        <w:tc>
          <w:tcPr>
            <w:tcW w:w="1871" w:type="dxa"/>
            <w:vAlign w:val="center"/>
          </w:tcPr>
          <w:p>
            <w:pPr>
              <w:adjustRightInd w:val="0"/>
              <w:snapToGrid w:val="0"/>
              <w:spacing w:line="360" w:lineRule="exact"/>
              <w:jc w:val="center"/>
              <w:rPr>
                <w:rFonts w:ascii="宋体" w:hAnsi="宋体" w:eastAsia="宋体"/>
                <w:szCs w:val="21"/>
              </w:rPr>
            </w:pPr>
            <w:r>
              <w:rPr>
                <w:rFonts w:hint="eastAsia" w:ascii="宋体" w:hAnsi="宋体" w:eastAsia="宋体"/>
                <w:szCs w:val="21"/>
              </w:rPr>
              <w:t>第七章 领导</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1.理解领导的含义以及领导与管理的区别</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2.掌握领导特质理论、领导行为理论和领导情景理论的主要观点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3.掌握激励过程、主要激励理论的核心思想及其在管理实际中的应用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4.熟悉沟通的过程、类型及克服沟通障碍的方法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5.掌握冲突观念的变迁及管理策略</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1.有效领导理论（特质论、行为论和情景论）</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2.激励理论（需要层次论、双因素理论、公平理论、期望理论和强化理论）</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3.冲突观点及管理</w:t>
            </w:r>
          </w:p>
          <w:p>
            <w:pPr>
              <w:adjustRightInd w:val="0"/>
              <w:snapToGrid w:val="0"/>
              <w:spacing w:line="360" w:lineRule="exact"/>
              <w:ind w:left="210" w:hanging="210" w:hangingChars="100"/>
              <w:rPr>
                <w:rFonts w:ascii="宋体" w:hAnsi="宋体" w:eastAsia="宋体"/>
                <w:szCs w:val="21"/>
              </w:rPr>
            </w:pP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1.领导情景理论</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2.双因素理论</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3.激励的过程</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4</w:t>
            </w:r>
            <w:r>
              <w:rPr>
                <w:rFonts w:hint="eastAsia" w:ascii="宋体" w:hAnsi="宋体" w:eastAsia="宋体"/>
                <w:szCs w:val="21"/>
              </w:rPr>
              <w:t>.冲突管理</w:t>
            </w:r>
          </w:p>
          <w:p>
            <w:pPr>
              <w:adjustRightInd w:val="0"/>
              <w:snapToGrid w:val="0"/>
              <w:spacing w:line="360" w:lineRule="exact"/>
              <w:ind w:left="210" w:hanging="210" w:hangingChars="100"/>
              <w:rPr>
                <w:rFonts w:ascii="宋体" w:hAnsi="宋体" w:eastAsia="宋体"/>
                <w:szCs w:val="21"/>
              </w:rPr>
            </w:pPr>
          </w:p>
          <w:p>
            <w:pPr>
              <w:adjustRightInd w:val="0"/>
              <w:snapToGrid w:val="0"/>
              <w:spacing w:line="360" w:lineRule="exact"/>
              <w:ind w:left="210" w:hanging="210" w:hangingChars="1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8</w:t>
            </w:r>
          </w:p>
        </w:tc>
        <w:tc>
          <w:tcPr>
            <w:tcW w:w="1871" w:type="dxa"/>
            <w:vAlign w:val="center"/>
          </w:tcPr>
          <w:p>
            <w:pPr>
              <w:adjustRightInd w:val="0"/>
              <w:snapToGrid w:val="0"/>
              <w:spacing w:line="360" w:lineRule="exact"/>
              <w:jc w:val="center"/>
              <w:rPr>
                <w:rFonts w:ascii="宋体" w:hAnsi="宋体" w:eastAsia="宋体"/>
                <w:szCs w:val="21"/>
              </w:rPr>
            </w:pPr>
            <w:r>
              <w:rPr>
                <w:rFonts w:hint="eastAsia" w:ascii="宋体" w:hAnsi="宋体" w:eastAsia="宋体"/>
                <w:szCs w:val="21"/>
              </w:rPr>
              <w:t>第八章 控制</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1.理解控制的概念和过程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2.熟悉控制的类型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3.掌握主要的控制方法与技术</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4.熟悉风险的类型及识别方法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5.掌握控制风险的主要方法</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1.控制的过程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2.控制的类型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3.控制的方法（全面质量管理、六西格玛、平衡记分卡、标杆管理）</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4.控制风险的策略</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1.六西格玛管理方法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2.风险的识别与评估</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3.危机预警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9</w:t>
            </w:r>
          </w:p>
        </w:tc>
        <w:tc>
          <w:tcPr>
            <w:tcW w:w="1871" w:type="dxa"/>
            <w:vAlign w:val="center"/>
          </w:tcPr>
          <w:p>
            <w:pPr>
              <w:adjustRightInd w:val="0"/>
              <w:snapToGrid w:val="0"/>
              <w:spacing w:line="360" w:lineRule="exact"/>
              <w:jc w:val="center"/>
              <w:rPr>
                <w:rFonts w:ascii="宋体" w:hAnsi="宋体" w:eastAsia="宋体"/>
                <w:szCs w:val="21"/>
              </w:rPr>
            </w:pPr>
            <w:r>
              <w:rPr>
                <w:rFonts w:hint="eastAsia" w:ascii="宋体" w:hAnsi="宋体" w:eastAsia="宋体"/>
                <w:szCs w:val="21"/>
              </w:rPr>
              <w:t>第九章 创新</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1.理解管理创新的内涵</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2.熟悉管理创新的类型与基本内容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3.熟悉组织变革的模式及推进方法</w:t>
            </w:r>
          </w:p>
          <w:p>
            <w:pPr>
              <w:adjustRightInd w:val="0"/>
              <w:snapToGrid w:val="0"/>
              <w:spacing w:line="360" w:lineRule="exact"/>
              <w:ind w:left="210" w:hanging="210" w:hangingChars="100"/>
              <w:rPr>
                <w:rFonts w:ascii="宋体" w:hAnsi="宋体" w:eastAsia="宋体"/>
                <w:szCs w:val="21"/>
              </w:rPr>
            </w:pPr>
            <w:r>
              <w:rPr>
                <w:rFonts w:ascii="宋体" w:hAnsi="宋体" w:eastAsia="宋体"/>
                <w:szCs w:val="21"/>
              </w:rPr>
              <w:t>4</w:t>
            </w:r>
            <w:r>
              <w:rPr>
                <w:rFonts w:hint="eastAsia" w:ascii="宋体" w:hAnsi="宋体" w:eastAsia="宋体"/>
                <w:szCs w:val="21"/>
              </w:rPr>
              <w:t>.掌握组织创新的三种主要形式</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1.创新的类型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2.创新的基本内容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3.组织变革的障碍及应对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4.组织创新形式</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1.组织变革的障碍及应对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2.制度结构创新</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3.文化结构创新</w:t>
            </w:r>
          </w:p>
        </w:tc>
      </w:tr>
      <w:bookmarkEnd w:id="5"/>
    </w:tbl>
    <w:p>
      <w:pPr>
        <w:spacing w:before="312" w:beforeLines="100" w:after="156" w:afterLines="50" w:line="360" w:lineRule="auto"/>
        <w:jc w:val="left"/>
        <w:outlineLvl w:val="0"/>
        <w:rPr>
          <w:rFonts w:ascii="黑体" w:hAnsi="黑体" w:eastAsia="黑体"/>
          <w:sz w:val="30"/>
          <w:szCs w:val="30"/>
        </w:rPr>
      </w:pPr>
      <w:bookmarkStart w:id="7" w:name="_Toc4406548"/>
    </w:p>
    <w:p>
      <w:pPr>
        <w:spacing w:before="312" w:beforeLines="100" w:after="156" w:afterLines="50" w:line="360" w:lineRule="auto"/>
        <w:jc w:val="left"/>
        <w:outlineLvl w:val="0"/>
        <w:rPr>
          <w:rFonts w:ascii="黑体" w:hAnsi="黑体" w:eastAsia="黑体"/>
          <w:sz w:val="30"/>
          <w:szCs w:val="30"/>
        </w:rPr>
      </w:pPr>
      <w:r>
        <w:rPr>
          <w:rFonts w:hint="eastAsia" w:ascii="黑体" w:hAnsi="黑体" w:eastAsia="黑体"/>
          <w:sz w:val="30"/>
          <w:szCs w:val="30"/>
        </w:rPr>
        <w:t>四、课程教学内容、教学方式、学时分配及对课程目标的支撑情况</w:t>
      </w:r>
      <w:bookmarkEnd w:id="7"/>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411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支撑的</w:t>
            </w:r>
          </w:p>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adjustRightInd w:val="0"/>
              <w:snapToGrid w:val="0"/>
              <w:spacing w:line="320" w:lineRule="exact"/>
              <w:jc w:val="center"/>
              <w:rPr>
                <w:rFonts w:ascii="宋体" w:hAnsi="宋体" w:eastAsia="宋体"/>
                <w:szCs w:val="21"/>
              </w:rPr>
            </w:pPr>
            <w:r>
              <w:rPr>
                <w:rFonts w:asciiTheme="minorEastAsia" w:hAnsiTheme="minorEastAsia"/>
                <w:szCs w:val="21"/>
              </w:rPr>
              <w:t>第</w:t>
            </w:r>
            <w:r>
              <w:rPr>
                <w:rFonts w:hint="eastAsia" w:asciiTheme="minorEastAsia" w:hAnsiTheme="minorEastAsia"/>
                <w:szCs w:val="21"/>
              </w:rPr>
              <w:t>一</w:t>
            </w:r>
            <w:r>
              <w:rPr>
                <w:rFonts w:asciiTheme="minorEastAsia" w:hAnsiTheme="minorEastAsia"/>
                <w:szCs w:val="21"/>
              </w:rPr>
              <w:t>章</w:t>
            </w:r>
            <w:r>
              <w:rPr>
                <w:rFonts w:hint="eastAsia" w:asciiTheme="minorEastAsia" w:hAnsiTheme="minorEastAsia"/>
                <w:szCs w:val="21"/>
              </w:rPr>
              <w:t xml:space="preserve"> 导论</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管理学课程的教与学</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管理的内涵与本质</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组织中的管理者</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r>
              <w:rPr>
                <w:rFonts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管理活动（管理工作内容）</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r>
              <w:rPr>
                <w:rFonts w:asci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Theme="minorEastAsia" w:hAnsiTheme="minorEastAsia"/>
                <w:szCs w:val="21"/>
              </w:rPr>
              <w:t>第二章 管理理论的历史演变</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早期管理思想</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古典管理理论</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行为管理理论</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现代管理流派及发展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第三章 管理环境</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管理环境及分析框架</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管理环境的分析方法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hint="eastAsia" w:ascii="宋体"/>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58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第四章 决策</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决策工作概述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决策方法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4</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决策追踪与调整</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hint="eastAsia" w:asci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5</w:t>
            </w:r>
          </w:p>
        </w:tc>
        <w:tc>
          <w:tcPr>
            <w:tcW w:w="158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第五章 计划</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计划工作概述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计划制定方法：滚动计划法与计划评审技术</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3</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计划推进方法：目标管理与PDCA循环</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6</w:t>
            </w:r>
          </w:p>
        </w:tc>
        <w:tc>
          <w:tcPr>
            <w:tcW w:w="158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第六章 组织</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组织工作概述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组织结构设计</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3</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组织权力配置</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r>
              <w:rPr>
                <w:rFonts w:ascii="宋体"/>
                <w:szCs w:val="21"/>
              </w:rPr>
              <w:t>2</w:t>
            </w:r>
            <w:r>
              <w:rPr>
                <w:rFonts w:hint="eastAsia" w:asci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人员配备</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7</w:t>
            </w:r>
          </w:p>
        </w:tc>
        <w:tc>
          <w:tcPr>
            <w:tcW w:w="158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第七章 领导</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领导工作概述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有效领导理论</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2</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激励与激励理论</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讲授、课堂互动、案例分析</w:t>
            </w:r>
          </w:p>
        </w:tc>
        <w:tc>
          <w:tcPr>
            <w:tcW w:w="708"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3</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沟通与冲突管理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8</w:t>
            </w:r>
          </w:p>
        </w:tc>
        <w:tc>
          <w:tcPr>
            <w:tcW w:w="158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第八章 控制</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控制工作概述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ascii="宋体" w:hAnsi="宋体" w:eastAsia="宋体"/>
                <w:szCs w:val="21"/>
              </w:rPr>
              <w:t xml:space="preserve"> </w:t>
            </w:r>
            <w:r>
              <w:rPr>
                <w:rFonts w:hint="eastAsia" w:ascii="宋体" w:hAnsi="宋体" w:eastAsia="宋体"/>
                <w:szCs w:val="21"/>
              </w:rPr>
              <w:t>控制的方法与技术</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风险控制</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9</w:t>
            </w:r>
          </w:p>
        </w:tc>
        <w:tc>
          <w:tcPr>
            <w:tcW w:w="158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第九章 创新</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创新工作概述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组织变革与创新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组织结构创新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讲授、课堂互动、案例分析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szCs w:val="21"/>
              </w:rPr>
            </w:pPr>
            <w:r>
              <w:rPr>
                <w:rFonts w:hint="eastAsia" w:ascii="宋体"/>
                <w:szCs w:val="21"/>
              </w:rPr>
              <w:t>课程目标1、2、4</w:t>
            </w:r>
          </w:p>
        </w:tc>
      </w:tr>
    </w:tbl>
    <w:p>
      <w:pPr>
        <w:spacing w:before="312" w:beforeLines="100" w:after="156" w:afterLines="50" w:line="360" w:lineRule="auto"/>
        <w:jc w:val="left"/>
        <w:outlineLvl w:val="0"/>
        <w:rPr>
          <w:rFonts w:ascii="黑体" w:hAnsi="黑体" w:eastAsia="黑体"/>
          <w:sz w:val="30"/>
          <w:szCs w:val="30"/>
        </w:rPr>
      </w:pPr>
      <w:bookmarkStart w:id="8" w:name="_Toc4406549"/>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p>
    <w:p>
      <w:pPr>
        <w:spacing w:before="312" w:beforeLines="100" w:after="156" w:afterLines="50" w:line="360" w:lineRule="auto"/>
        <w:jc w:val="left"/>
        <w:outlineLvl w:val="0"/>
        <w:rPr>
          <w:rFonts w:ascii="黑体" w:hAnsi="黑体" w:eastAsia="黑体"/>
          <w:sz w:val="30"/>
          <w:szCs w:val="30"/>
        </w:rPr>
      </w:pPr>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hAnsi="宋体" w:eastAsia="宋体"/>
                <w:szCs w:val="21"/>
              </w:rPr>
            </w:pPr>
            <w:r>
              <w:rPr>
                <w:rFonts w:hint="eastAsia" w:ascii="宋体" w:hAnsi="宋体" w:eastAsia="宋体"/>
                <w:szCs w:val="21"/>
              </w:rPr>
              <w:t>管理学基本理论知识的理解和掌握情况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7505" w:type="dxa"/>
            <w:vAlign w:val="center"/>
          </w:tcPr>
          <w:p>
            <w:pPr>
              <w:tabs>
                <w:tab w:val="left" w:pos="-106"/>
              </w:tabs>
              <w:adjustRightInd w:val="0"/>
              <w:snapToGrid w:val="0"/>
              <w:spacing w:line="320" w:lineRule="exact"/>
              <w:ind w:left="-104" w:leftChars="-50" w:hanging="1"/>
              <w:jc w:val="left"/>
              <w:rPr>
                <w:rFonts w:ascii="宋体" w:hAnsi="宋体" w:eastAsia="宋体"/>
                <w:szCs w:val="21"/>
              </w:rPr>
            </w:pPr>
            <w:r>
              <w:rPr>
                <w:rFonts w:hint="eastAsia" w:ascii="宋体" w:hAnsi="宋体" w:eastAsia="宋体"/>
                <w:szCs w:val="21"/>
              </w:rPr>
              <w:t>应用所学知识解决实际管理问题的能力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napToGrid w:val="0"/>
              <w:spacing w:line="320" w:lineRule="exact"/>
              <w:ind w:left="-106"/>
              <w:jc w:val="left"/>
              <w:rPr>
                <w:rFonts w:ascii="宋体" w:hAnsi="宋体" w:eastAsia="宋体" w:cs="宋体"/>
                <w:bCs/>
                <w:szCs w:val="21"/>
              </w:rPr>
            </w:pPr>
            <w:r>
              <w:rPr>
                <w:rFonts w:hint="eastAsia" w:ascii="宋体" w:hAnsi="宋体" w:eastAsia="宋体" w:cs="宋体"/>
                <w:bCs/>
                <w:szCs w:val="21"/>
              </w:rPr>
              <w:t>分析和解决管理问题时的伦理考量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color w:val="000000"/>
                <w:kern w:val="0"/>
                <w:szCs w:val="21"/>
              </w:rPr>
            </w:pPr>
            <w:bookmarkStart w:id="9" w:name="_Hlk524877914"/>
            <w:r>
              <w:rPr>
                <w:rFonts w:hint="eastAsia" w:ascii="宋体" w:hAnsi="宋体" w:eastAsia="宋体" w:cs="宋体"/>
                <w:color w:val="000000"/>
                <w:kern w:val="0"/>
                <w:szCs w:val="21"/>
              </w:rPr>
              <w:t>课程目标4</w:t>
            </w:r>
          </w:p>
        </w:tc>
        <w:tc>
          <w:tcPr>
            <w:tcW w:w="7505" w:type="dxa"/>
            <w:vAlign w:val="center"/>
          </w:tcPr>
          <w:p>
            <w:pPr>
              <w:tabs>
                <w:tab w:val="left" w:pos="-106"/>
              </w:tabs>
              <w:adjustRightInd w:val="0"/>
              <w:snapToGrid w:val="0"/>
              <w:spacing w:line="320" w:lineRule="exact"/>
              <w:ind w:left="-105" w:leftChars="-50" w:firstLine="1"/>
              <w:jc w:val="left"/>
              <w:rPr>
                <w:rFonts w:ascii="宋体" w:hAnsi="宋体" w:eastAsia="宋体" w:cs="宋体"/>
                <w:bCs/>
                <w:szCs w:val="21"/>
              </w:rPr>
            </w:pPr>
            <w:r>
              <w:rPr>
                <w:rFonts w:hint="eastAsia" w:ascii="宋体" w:hAnsi="宋体" w:eastAsia="宋体" w:cs="宋体"/>
                <w:bCs/>
                <w:szCs w:val="21"/>
              </w:rPr>
              <w:t>对管理学前言理论和实践的了解及创新意识</w:t>
            </w:r>
          </w:p>
        </w:tc>
      </w:tr>
      <w:bookmarkEnd w:id="9"/>
    </w:tbl>
    <w:p>
      <w:pPr>
        <w:spacing w:before="312" w:beforeLines="100" w:after="156" w:afterLines="50" w:line="360" w:lineRule="auto"/>
        <w:jc w:val="left"/>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5%</w:t>
            </w:r>
          </w:p>
        </w:tc>
        <w:tc>
          <w:tcPr>
            <w:tcW w:w="7448" w:type="dxa"/>
            <w:vAlign w:val="center"/>
          </w:tcPr>
          <w:p>
            <w:pPr>
              <w:adjustRightInd w:val="0"/>
              <w:snapToGrid w:val="0"/>
              <w:spacing w:line="320" w:lineRule="exact"/>
              <w:jc w:val="left"/>
              <w:rPr>
                <w:rFonts w:ascii="Times New Roman" w:hAnsi="Times New Roman" w:eastAsia="宋体" w:cs="Times New Roman"/>
                <w:szCs w:val="21"/>
              </w:rPr>
            </w:pPr>
            <w:r>
              <w:rPr>
                <w:rFonts w:ascii="Times New Roman" w:hAnsi="Times New Roman" w:cs="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30%</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hint="eastAsia" w:ascii="Times New Roman" w:hAnsi="Times New Roman" w:cs="Times New Roman"/>
                <w:color w:val="000000"/>
                <w:szCs w:val="21"/>
              </w:rPr>
              <w:t>个人课程作业、团队课程作业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期末考试</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65%</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ascii="Times New Roman" w:hAnsi="Times New Roman" w:eastAsia="宋体" w:cs="Times New Roman"/>
                <w:szCs w:val="21"/>
              </w:rPr>
              <w:t>笔试，包含</w:t>
            </w:r>
            <w:r>
              <w:rPr>
                <w:rFonts w:hint="eastAsia" w:ascii="Times New Roman" w:hAnsi="Times New Roman" w:eastAsia="宋体" w:cs="Times New Roman"/>
                <w:szCs w:val="21"/>
              </w:rPr>
              <w:t>单项选择题</w:t>
            </w:r>
            <w:r>
              <w:rPr>
                <w:rFonts w:ascii="Times New Roman" w:hAnsi="Times New Roman" w:eastAsia="宋体" w:cs="Times New Roman"/>
                <w:szCs w:val="21"/>
              </w:rPr>
              <w:t>、</w:t>
            </w:r>
            <w:r>
              <w:rPr>
                <w:rFonts w:hint="eastAsia" w:ascii="Times New Roman" w:hAnsi="Times New Roman" w:eastAsia="宋体" w:cs="Times New Roman"/>
                <w:szCs w:val="21"/>
              </w:rPr>
              <w:t>计算题</w:t>
            </w:r>
            <w:r>
              <w:rPr>
                <w:rFonts w:ascii="Times New Roman" w:hAnsi="Times New Roman" w:eastAsia="宋体" w:cs="Times New Roman"/>
                <w:szCs w:val="21"/>
              </w:rPr>
              <w:t>、简答</w:t>
            </w:r>
            <w:r>
              <w:rPr>
                <w:rFonts w:hint="eastAsia" w:ascii="Times New Roman" w:hAnsi="Times New Roman" w:eastAsia="宋体" w:cs="Times New Roman"/>
                <w:szCs w:val="21"/>
              </w:rPr>
              <w:t>题</w:t>
            </w:r>
            <w:r>
              <w:rPr>
                <w:rFonts w:ascii="Times New Roman" w:hAnsi="Times New Roman" w:eastAsia="宋体" w:cs="Times New Roman"/>
                <w:szCs w:val="21"/>
              </w:rPr>
              <w:t>、案例分析</w:t>
            </w:r>
            <w:r>
              <w:rPr>
                <w:rFonts w:hint="eastAsia" w:ascii="Times New Roman" w:hAnsi="Times New Roman" w:eastAsia="宋体" w:cs="Times New Roman"/>
                <w:szCs w:val="21"/>
              </w:rPr>
              <w:t>题</w:t>
            </w:r>
            <w:r>
              <w:rPr>
                <w:rFonts w:ascii="Times New Roman" w:hAnsi="Times New Roman" w:eastAsia="宋体" w:cs="Times New Roman"/>
                <w:szCs w:val="21"/>
              </w:rPr>
              <w:t>等题型</w:t>
            </w:r>
            <w:r>
              <w:rPr>
                <w:rFonts w:hint="eastAsia" w:ascii="Times New Roman" w:hAnsi="Times New Roman" w:eastAsia="宋体" w:cs="Times New Roman"/>
                <w:szCs w:val="21"/>
              </w:rPr>
              <w:t>，</w:t>
            </w:r>
            <w:r>
              <w:rPr>
                <w:rFonts w:ascii="Times New Roman" w:hAnsi="Times New Roman" w:eastAsia="宋体" w:cs="Times New Roman"/>
                <w:szCs w:val="21"/>
              </w:rPr>
              <w:t>考核</w:t>
            </w:r>
            <w:r>
              <w:rPr>
                <w:rFonts w:hint="eastAsia" w:ascii="Times New Roman" w:hAnsi="Times New Roman" w:eastAsia="宋体" w:cs="Times New Roman"/>
                <w:szCs w:val="21"/>
              </w:rPr>
              <w:t>课程</w:t>
            </w:r>
            <w:r>
              <w:rPr>
                <w:rFonts w:ascii="Times New Roman" w:hAnsi="Times New Roman" w:eastAsia="宋体" w:cs="Times New Roman"/>
                <w:szCs w:val="21"/>
              </w:rPr>
              <w:t>基本知识的掌握和运用情况</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1617D"/>
    <w:rsid w:val="00052533"/>
    <w:rsid w:val="00054AC6"/>
    <w:rsid w:val="000A1EC2"/>
    <w:rsid w:val="000D6848"/>
    <w:rsid w:val="000E2E2E"/>
    <w:rsid w:val="00113B48"/>
    <w:rsid w:val="00134FF7"/>
    <w:rsid w:val="001471B4"/>
    <w:rsid w:val="0015295D"/>
    <w:rsid w:val="001536D7"/>
    <w:rsid w:val="00166174"/>
    <w:rsid w:val="0017558D"/>
    <w:rsid w:val="00190C68"/>
    <w:rsid w:val="0019649E"/>
    <w:rsid w:val="00196591"/>
    <w:rsid w:val="001A720E"/>
    <w:rsid w:val="001B425E"/>
    <w:rsid w:val="001C46E2"/>
    <w:rsid w:val="001D043B"/>
    <w:rsid w:val="001D69AC"/>
    <w:rsid w:val="001E0AA6"/>
    <w:rsid w:val="00200CA7"/>
    <w:rsid w:val="00216BF0"/>
    <w:rsid w:val="002241E7"/>
    <w:rsid w:val="00241B1F"/>
    <w:rsid w:val="0025194F"/>
    <w:rsid w:val="00262AA0"/>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367C3"/>
    <w:rsid w:val="00345234"/>
    <w:rsid w:val="003512F0"/>
    <w:rsid w:val="003629D3"/>
    <w:rsid w:val="00363A9E"/>
    <w:rsid w:val="00366C9F"/>
    <w:rsid w:val="00371B6C"/>
    <w:rsid w:val="00383C2C"/>
    <w:rsid w:val="003B4E0D"/>
    <w:rsid w:val="003C4383"/>
    <w:rsid w:val="003C4AF6"/>
    <w:rsid w:val="003D16C3"/>
    <w:rsid w:val="003E0CAC"/>
    <w:rsid w:val="003E6EC8"/>
    <w:rsid w:val="003F67C5"/>
    <w:rsid w:val="004028AA"/>
    <w:rsid w:val="00433FCF"/>
    <w:rsid w:val="00455E63"/>
    <w:rsid w:val="00471D9A"/>
    <w:rsid w:val="0049265E"/>
    <w:rsid w:val="00495177"/>
    <w:rsid w:val="004B47A0"/>
    <w:rsid w:val="004B7B5C"/>
    <w:rsid w:val="004C23BB"/>
    <w:rsid w:val="004E31F6"/>
    <w:rsid w:val="00522980"/>
    <w:rsid w:val="00524163"/>
    <w:rsid w:val="00531080"/>
    <w:rsid w:val="00547A9A"/>
    <w:rsid w:val="00560B9E"/>
    <w:rsid w:val="00574475"/>
    <w:rsid w:val="00580B0E"/>
    <w:rsid w:val="005936DE"/>
    <w:rsid w:val="005B0077"/>
    <w:rsid w:val="005B6285"/>
    <w:rsid w:val="005B62AE"/>
    <w:rsid w:val="005C0683"/>
    <w:rsid w:val="005C31AB"/>
    <w:rsid w:val="005C79F8"/>
    <w:rsid w:val="005D5315"/>
    <w:rsid w:val="005D5D0B"/>
    <w:rsid w:val="005D70EB"/>
    <w:rsid w:val="005F5AA2"/>
    <w:rsid w:val="0062581F"/>
    <w:rsid w:val="00625DD0"/>
    <w:rsid w:val="00636100"/>
    <w:rsid w:val="006625D0"/>
    <w:rsid w:val="00670894"/>
    <w:rsid w:val="006917A8"/>
    <w:rsid w:val="006A496B"/>
    <w:rsid w:val="006B0650"/>
    <w:rsid w:val="006C30F5"/>
    <w:rsid w:val="006F6722"/>
    <w:rsid w:val="00707982"/>
    <w:rsid w:val="007218C9"/>
    <w:rsid w:val="00735181"/>
    <w:rsid w:val="00751139"/>
    <w:rsid w:val="00792141"/>
    <w:rsid w:val="0079311C"/>
    <w:rsid w:val="0079342B"/>
    <w:rsid w:val="007A1CF2"/>
    <w:rsid w:val="007B1D65"/>
    <w:rsid w:val="007B210B"/>
    <w:rsid w:val="007B60A0"/>
    <w:rsid w:val="007B6373"/>
    <w:rsid w:val="007B654B"/>
    <w:rsid w:val="007D158B"/>
    <w:rsid w:val="007D4FB9"/>
    <w:rsid w:val="007E1E48"/>
    <w:rsid w:val="007F238B"/>
    <w:rsid w:val="00813B5D"/>
    <w:rsid w:val="00817571"/>
    <w:rsid w:val="00817628"/>
    <w:rsid w:val="008208FB"/>
    <w:rsid w:val="00827A14"/>
    <w:rsid w:val="008550DA"/>
    <w:rsid w:val="00857496"/>
    <w:rsid w:val="00890594"/>
    <w:rsid w:val="008A58E8"/>
    <w:rsid w:val="008B68A5"/>
    <w:rsid w:val="008C54FB"/>
    <w:rsid w:val="008E4BFB"/>
    <w:rsid w:val="008E6F15"/>
    <w:rsid w:val="008F3AF5"/>
    <w:rsid w:val="0090431C"/>
    <w:rsid w:val="009108C5"/>
    <w:rsid w:val="009308D3"/>
    <w:rsid w:val="009521D5"/>
    <w:rsid w:val="00957CE0"/>
    <w:rsid w:val="00974621"/>
    <w:rsid w:val="00976520"/>
    <w:rsid w:val="009904EF"/>
    <w:rsid w:val="00993E4F"/>
    <w:rsid w:val="009C0BD0"/>
    <w:rsid w:val="009E0606"/>
    <w:rsid w:val="009E2314"/>
    <w:rsid w:val="009E2AB9"/>
    <w:rsid w:val="009E5D44"/>
    <w:rsid w:val="009E6A67"/>
    <w:rsid w:val="009F0840"/>
    <w:rsid w:val="009F5E23"/>
    <w:rsid w:val="00A0451E"/>
    <w:rsid w:val="00A2076A"/>
    <w:rsid w:val="00A33642"/>
    <w:rsid w:val="00A3414F"/>
    <w:rsid w:val="00A35C1B"/>
    <w:rsid w:val="00A467F6"/>
    <w:rsid w:val="00A546A2"/>
    <w:rsid w:val="00A63A90"/>
    <w:rsid w:val="00A701B0"/>
    <w:rsid w:val="00A8272E"/>
    <w:rsid w:val="00A86CCD"/>
    <w:rsid w:val="00A91A79"/>
    <w:rsid w:val="00A92254"/>
    <w:rsid w:val="00AA1FD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31B0"/>
    <w:rsid w:val="00B75A41"/>
    <w:rsid w:val="00B97F1B"/>
    <w:rsid w:val="00BC1D69"/>
    <w:rsid w:val="00BC723F"/>
    <w:rsid w:val="00BD396C"/>
    <w:rsid w:val="00BE7E88"/>
    <w:rsid w:val="00BF02F7"/>
    <w:rsid w:val="00BF03AB"/>
    <w:rsid w:val="00C20D2F"/>
    <w:rsid w:val="00C22109"/>
    <w:rsid w:val="00C2216C"/>
    <w:rsid w:val="00C33035"/>
    <w:rsid w:val="00C35E8D"/>
    <w:rsid w:val="00C43ECF"/>
    <w:rsid w:val="00C52152"/>
    <w:rsid w:val="00C6418E"/>
    <w:rsid w:val="00C67E6F"/>
    <w:rsid w:val="00C71C8F"/>
    <w:rsid w:val="00C92656"/>
    <w:rsid w:val="00CB35E6"/>
    <w:rsid w:val="00CB3F29"/>
    <w:rsid w:val="00CC173A"/>
    <w:rsid w:val="00CD6D95"/>
    <w:rsid w:val="00CE7FE0"/>
    <w:rsid w:val="00CF4C8A"/>
    <w:rsid w:val="00D07D36"/>
    <w:rsid w:val="00D10761"/>
    <w:rsid w:val="00D21823"/>
    <w:rsid w:val="00D25DE3"/>
    <w:rsid w:val="00D2653D"/>
    <w:rsid w:val="00D269E3"/>
    <w:rsid w:val="00D272D0"/>
    <w:rsid w:val="00D71417"/>
    <w:rsid w:val="00D72D32"/>
    <w:rsid w:val="00DA1358"/>
    <w:rsid w:val="00DA53B6"/>
    <w:rsid w:val="00DC101B"/>
    <w:rsid w:val="00DF199A"/>
    <w:rsid w:val="00DF401D"/>
    <w:rsid w:val="00E01950"/>
    <w:rsid w:val="00E07880"/>
    <w:rsid w:val="00E16E39"/>
    <w:rsid w:val="00E30695"/>
    <w:rsid w:val="00E40F3F"/>
    <w:rsid w:val="00E61FC2"/>
    <w:rsid w:val="00E65070"/>
    <w:rsid w:val="00E87965"/>
    <w:rsid w:val="00E92610"/>
    <w:rsid w:val="00E946BA"/>
    <w:rsid w:val="00EB283F"/>
    <w:rsid w:val="00EC3B1E"/>
    <w:rsid w:val="00EE1B4B"/>
    <w:rsid w:val="00EE2904"/>
    <w:rsid w:val="00EF1E9D"/>
    <w:rsid w:val="00EF724C"/>
    <w:rsid w:val="00EF7CF1"/>
    <w:rsid w:val="00F0196D"/>
    <w:rsid w:val="00F17D67"/>
    <w:rsid w:val="00F47DF4"/>
    <w:rsid w:val="00F74DD0"/>
    <w:rsid w:val="00F80A9B"/>
    <w:rsid w:val="00F87E3D"/>
    <w:rsid w:val="00F93557"/>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996391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批注框文本 字符"/>
    <w:basedOn w:val="11"/>
    <w:link w:val="4"/>
    <w:semiHidden/>
    <w:uiPriority w:val="99"/>
    <w:rPr>
      <w:sz w:val="18"/>
      <w:szCs w:val="18"/>
    </w:rPr>
  </w:style>
  <w:style w:type="character" w:customStyle="1" w:styleId="17">
    <w:name w:val="批注文字 字符"/>
    <w:basedOn w:val="11"/>
    <w:link w:val="3"/>
    <w:semiHidden/>
    <w:qFormat/>
    <w:uiPriority w:val="99"/>
  </w:style>
  <w:style w:type="character" w:customStyle="1" w:styleId="18">
    <w:name w:val="批注主题 字符"/>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字符"/>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E0B382-B6F2-4FF0-9585-490E066BA93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621</Words>
  <Characters>3544</Characters>
  <Lines>29</Lines>
  <Paragraphs>8</Paragraphs>
  <TotalTime>214</TotalTime>
  <ScaleCrop>false</ScaleCrop>
  <LinksUpToDate>false</LinksUpToDate>
  <CharactersWithSpaces>4157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Administrator</cp:lastModifiedBy>
  <cp:lastPrinted>2019-03-21T12:39:00Z</cp:lastPrinted>
  <dcterms:modified xsi:type="dcterms:W3CDTF">2019-12-11T13:20:28Z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