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矩形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FMvI2fVAAAACgEAAA8AAAAAAAAAAQAgAAAAIgAAAGRycy9kb3du&#10;cmV2LnhtbFBLAQIUABQAAAAIAIdO4kBZ+sFb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国际金融学本科课程教学大纲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r>
        <w:rPr>
          <w:rFonts w:ascii="仿宋_GB2312" w:hAnsi="黑体" w:eastAsia="仿宋_GB2312"/>
          <w:sz w:val="30"/>
          <w:szCs w:val="30"/>
        </w:rPr>
        <w:pict>
          <v:rect id="矩形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etdlTVAAAACQEAAA8AAAAAAAAAAQAgAAAAIgAAAGRycy9kb3du&#10;cmV2LnhtbFBLAQIUABQAAAAIAIdO4kDJFKywkAEAAAEDAAAOAAAAAAAAAAEAIAAAACQBAABkcnMv&#10;ZTJvRG9jLnhtbFBLBQYAAAAABgAGAFkBAAAm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编制人：张敏锋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吴宜勇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矩形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j3HNdQAAAAJAQAADwAAAAAAAAABACAAAAAiAAAAZHJzL2Rvd25y&#10;ZXYueG1sUEsBAhQAFAAAAAgAh07iQENkbwmQAQAAAQMAAA4AAAAAAAAAAQAgAAAAIwEAAGRycy9l&#10;Mm9Eb2MueG1sUEsFBgAAAAAGAAYAWQEAACU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编制时间：2019年6月30日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国际金融学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International Finance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>18803040300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张敏锋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宏观经济学、金融学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陈雨露. 国际金融（第六版）. 北京：中国人民大学出版社，2019.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姜波克，杨长江. 国际金融学（第五版）. 北京：高等教育出版社，2019.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  园. 国际金融实务（第三版）. 北京：高等教育出版社，2017.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陈雨露. 国际金融（第六版）. 北京：中国人民大学出版社，2019.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仿宋_GB2312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掌握</w:t>
            </w:r>
            <w:r>
              <w:rPr>
                <w:rFonts w:asciiTheme="minorEastAsia" w:hAnsiTheme="minorEastAsia"/>
                <w:szCs w:val="21"/>
              </w:rPr>
              <w:t>国际金融学科相关的基本概念、国际金融的基本构架与运行方式、国际金融的基本业务等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掌握观察和分析国际金融问题的正确方法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asciiTheme="minorEastAsia" w:hAnsiTheme="minorEastAsia"/>
                <w:szCs w:val="21"/>
              </w:rPr>
              <w:t>培养解决国际金融实际问题的能力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树立正确的国际金融意识和</w:t>
            </w:r>
            <w:r>
              <w:rPr>
                <w:rFonts w:hint="eastAsia" w:asciiTheme="minorEastAsia" w:hAnsiTheme="minorEastAsia"/>
                <w:szCs w:val="21"/>
              </w:rPr>
              <w:t>理念，</w:t>
            </w:r>
            <w:r>
              <w:rPr>
                <w:rFonts w:asciiTheme="minorEastAsia" w:hAnsiTheme="minorEastAsia"/>
                <w:szCs w:val="21"/>
              </w:rPr>
              <w:t>提高在国际金融</w:t>
            </w:r>
            <w:r>
              <w:rPr>
                <w:rFonts w:hint="eastAsia" w:asciiTheme="minorEastAsia" w:hAnsiTheme="minorEastAsia"/>
                <w:szCs w:val="21"/>
              </w:rPr>
              <w:t>学科</w:t>
            </w:r>
            <w:r>
              <w:rPr>
                <w:rFonts w:asciiTheme="minorEastAsia" w:hAnsiTheme="minorEastAsia"/>
                <w:szCs w:val="21"/>
              </w:rPr>
              <w:t>的素养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beforeLines="50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1.1 工具性知识。熟练掌握使用外语阅读国际金融市场的信息；熟练运用现代信息管理技术进行国际金融市场数据的检索、数据处理、设计模型等。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1.2 专业知识。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牢固掌握</w:t>
            </w: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 w:bidi="ar-SA"/>
              </w:rPr>
              <w:t>国际金融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学的基本知识、基础理论和基本应用技能。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pStyle w:val="21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毕业要求</w:t>
            </w: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eastAsia="宋体"/>
                <w:sz w:val="21"/>
                <w:szCs w:val="21"/>
              </w:rPr>
              <w:t>：能力要求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leftChars="200" w:firstLine="0" w:firstLineChars="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具有自主学习、独立思考、不断接受新知识、新理论、新技术的能力；具有将专业理论与知识融会贯通，综合运用专业知识分析和解决问题的能力；具有利用创造性思维开展科学研究和创业就业的能力；具有较强的沟通能力和团队合作能力</w:t>
            </w: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ascii="Times New Roman"/>
              </w:rPr>
              <w:t>毕</w:t>
            </w:r>
            <w:r>
              <w:rPr>
                <w:rFonts w:hint="eastAsia" w:ascii="宋体" w:hAnsi="宋体" w:eastAsia="宋体"/>
                <w:szCs w:val="21"/>
              </w:rPr>
              <w:t>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79" w:leftChars="228" w:firstLine="0" w:firstLineChars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具有正确的人生观、价值观和世界观；具有良好的道德修养、职业素养、法治意识和社会责任感；具有持续的创新精神、创业意识；具有完整的知识结构和良好的科学素养、人文素养</w:t>
            </w:r>
            <w:r>
              <w:rPr>
                <w:rFonts w:hint="eastAsia" w:eastAsia="宋体" w:cs="宋体"/>
                <w:kern w:val="2"/>
                <w:sz w:val="21"/>
                <w:szCs w:val="21"/>
                <w:lang w:val="en-US" w:eastAsia="zh-CN" w:bidi="ar-SA"/>
              </w:rPr>
              <w:t>。</w:t>
            </w:r>
            <w:bookmarkStart w:id="10" w:name="_GoBack"/>
            <w:bookmarkEnd w:id="10"/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绪论 国际金融学概论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tabs>
                <w:tab w:val="left" w:pos="1701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.了解国际金融学的理论发展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.掌握国际金融学的主要研究对象</w:t>
            </w:r>
          </w:p>
          <w:p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.熟悉国际金融学的主要业务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1.理解国际金融学的基本框架和主要内容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2.结合实际阐释学习国际金融学的价值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1.国际金融学的理论框架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2.国际金融学学习目标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第一章 外汇与外汇汇率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tabs>
                <w:tab w:val="left" w:pos="1701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.掌握外汇含义和汇率标价法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.了解汇率的主要分类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.掌握汇率的决定与变动及其经济影响</w:t>
            </w:r>
          </w:p>
          <w:p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.熟悉人民币汇率制度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1.汇率标价法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2.汇率套算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3.纸币条件下汇率波动的影响因素及其经济影响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4.人民币汇率制度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1.不同交易者的买入价和卖出价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2.实务中汇率走势的影响因素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3.人民币汇率制度改革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第二章 外汇市场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.了解外汇市场的起源、功能和特点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.熟悉外汇市场结构</w:t>
            </w:r>
          </w:p>
          <w:p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.掌握外汇市场交易交易活动和产品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1.全球外汇市场的特征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2.即期、远期和掉期外汇产品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1.即期、远期和掉期外汇产品的联系与区别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2.掌握全球和我国外汇市场发展情况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外汇衍生产品市场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1.熟悉外汇衍生产品的特征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.掌握远期、期货、期权、互换等主要外汇衍生产品的交易机制和交易方法</w:t>
            </w: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.了解外汇衍生产品市场的现状和未来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1.远期外汇交易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2.期货外汇交易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3.期权外汇交易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4.互换外汇交易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1.利率平价定理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2.期货保证金运作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3.看涨期权和看跌期权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4.互换利率计算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离岸金融市场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1.熟悉离岸金融市场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.掌握欧洲货币市场的产生、特点和影响</w:t>
            </w: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.了解欧洲债券市场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1.离岸金融市场产生和主要产品</w:t>
            </w:r>
          </w:p>
          <w:p>
            <w:pPr>
              <w:adjustRightInd w:val="0"/>
              <w:snapToGrid w:val="0"/>
              <w:spacing w:line="36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2.离岸金融市场的价值和作用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1.离岸市场与在岸市场的区别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2.我国如何发展离岸市场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国际资产投资组合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1.了解国际金融市场一体化的收益和风险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2.熟悉国际金融市场上的机构投资者</w:t>
            </w: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3.掌握国际组合投资的原理和渠道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1.国际组合投资的基本原理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2.国际组合投资与金融市场一体化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1.如何进行国际组合投资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2.金融市场一体化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外汇风险管理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.熟悉外汇风险种类及其成因</w:t>
            </w:r>
          </w:p>
          <w:p>
            <w:pPr>
              <w:widowControl/>
              <w:tabs>
                <w:tab w:val="left" w:pos="1701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.熟悉汇率预测技术</w:t>
            </w:r>
          </w:p>
          <w:p>
            <w:pPr>
              <w:widowControl/>
              <w:tabs>
                <w:tab w:val="left" w:pos="1701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.熟悉评估外汇风险的操作技术与步骤</w:t>
            </w:r>
          </w:p>
          <w:p>
            <w:pPr>
              <w:widowControl/>
              <w:tabs>
                <w:tab w:val="left" w:pos="1701"/>
              </w:tabs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.掌握常用外汇风险管理方法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1.外汇风险种类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2.外汇风险计量和预测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3.外汇风险管理办法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1.不同外汇风险的区别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2.套期保值管理外汇风险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跨国银行业务与经营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.了解跨国银行兴起的原因和三次浪潮</w:t>
            </w:r>
          </w:p>
          <w:p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.掌握跨国银行的组织构架和主要业务</w:t>
            </w:r>
          </w:p>
          <w:p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.掌握跨国银行设立的模式及其决定因素</w:t>
            </w:r>
          </w:p>
          <w:p>
            <w:pPr>
              <w:widowControl/>
              <w:tabs>
                <w:tab w:val="left" w:pos="1701"/>
              </w:tabs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4.了解我国跨国银行发展的特点</w:t>
            </w:r>
          </w:p>
        </w:tc>
        <w:tc>
          <w:tcPr>
            <w:tcW w:w="2838" w:type="dxa"/>
            <w:vAlign w:val="center"/>
          </w:tcPr>
          <w:p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1.跨国银行的组织构架和主要业务</w:t>
            </w:r>
          </w:p>
          <w:p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2.跨国银行的设立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1.跨国银行与国内银行的区别与联系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2.我国商业银行如何国际化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国际收支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1.掌握国际收支构成和国际收支平衡表编制方法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2.熟悉收支平衡表内容，学习国际收支项目分析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.熟悉主要国际收支理论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1.国际收支及其平衡表构成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2.国际收齐平衡表编制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3.国际收支平衡表分析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1.国际收支及其平衡表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2.我国国际收支分析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开放经济下的宏观经济政策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1.理解开放条件下内外均衡的关系及政策搭配的重要性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2.掌握开放条件下的宏观经济均衡分析框架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3.了解我国的宏观经济政策实践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1.IS-LM-BP模型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2.开放经济的宏观经济政策工具及其政策搭配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3.我国开放条件下的宏观经济政策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1.开放经济的宏观经济政策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2.IS-LM-BP模型的应用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汇率制度选择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1.掌握比较固定汇率制度和浮动汇率制度的利弊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.熟悉最适货币区理论与实践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.了解国际货币体系演进历史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4.了解各国在汇率制度选择上的其他探索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/>
                <w:szCs w:val="21"/>
              </w:rPr>
              <w:t>固定汇率制度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hint="eastAsia"/>
                <w:szCs w:val="21"/>
              </w:rPr>
              <w:t>浮动汇率制度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3.我国的汇率制度</w:t>
            </w:r>
          </w:p>
        </w:tc>
        <w:tc>
          <w:tcPr>
            <w:tcW w:w="1975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/>
                <w:szCs w:val="21"/>
              </w:rPr>
              <w:t>固定汇率制度和浮动汇率制度的利弊比较</w:t>
            </w: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2.我国的汇率制度改革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国际资本流动与金融稳定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1.掌握不同期限国际资本流动对相关国家的影响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2.掌握国际资本流动影响金融稳定的主要机制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3.掌握组合使用宏观经济政策工具控制国际资本流动的不利影响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4.了解国际资本流动的发展过程和近期趋势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center" w:pos="1311"/>
              </w:tabs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1.国际资本流动与金融稳定</w:t>
            </w:r>
          </w:p>
          <w:p>
            <w:pPr>
              <w:tabs>
                <w:tab w:val="center" w:pos="1311"/>
              </w:tabs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2.国际资本流动的不利影响的调控措施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1.短期和中长期国际资本流动的不同影响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2.宏观经济调控与国际资本流动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第十二章 金融危机的防范与管理</w:t>
            </w:r>
          </w:p>
        </w:tc>
        <w:tc>
          <w:tcPr>
            <w:tcW w:w="2742" w:type="dxa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1.了解全球范围内的金融危机发生情况及主要案例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2.掌握金融危机发生发展机制的主流理论</w:t>
            </w:r>
          </w:p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3.了解国际经济协调的主要平台</w:t>
            </w:r>
          </w:p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4.理解国际协调平台的作用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1.历次国际金融危机及其教训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2.金融危机理论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3.国际经济协调平台建设及如何防范金融危机的措施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1.金融危机的解释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2.国际经济协调平台与金融危机防范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绪论 国际金融学概论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全球化与国家金融学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变革中的国际金融市场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为什么要学好国际金融学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第一章 外汇与外汇汇率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第一节 外汇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第二节 外汇汇率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第三节　汇率的经济分析I——汇率决定与变动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第四节　汇率的经济分析Ⅱ——汇率变化的经济影响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第五节　人民币汇率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第二章 外汇市场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第一节 外汇市场概述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第二节 外汇市场环境与结构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第三节 外汇市场交易活动与交易产品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四</w:t>
            </w:r>
            <w:r>
              <w:rPr>
                <w:szCs w:val="21"/>
              </w:rPr>
              <w:t>节 中国的外汇市场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外汇衍生产品市场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第一节 外汇衍生交易的特征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第二节 外汇衍生产品的交易机制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第三节　外汇衍生产品市场的现状及发展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离岸金融市场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701"/>
              </w:tabs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第一节　欧洲货币市场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第二节　欧洲债券市场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国际资产投资组合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701"/>
              </w:tabs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第一节　</w:t>
            </w:r>
            <w:r>
              <w:rPr>
                <w:rFonts w:hint="eastAsia"/>
                <w:szCs w:val="21"/>
              </w:rPr>
              <w:t>国际组组合投资概览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701"/>
              </w:tabs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 xml:space="preserve">第二节 </w:t>
            </w:r>
            <w:r>
              <w:rPr>
                <w:rFonts w:hint="eastAsia"/>
                <w:szCs w:val="21"/>
              </w:rPr>
              <w:t>国际组合投资与金融市场一体化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外汇风险管理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一</w:t>
            </w:r>
            <w:r>
              <w:rPr>
                <w:szCs w:val="21"/>
              </w:rPr>
              <w:t>节 外汇风险概述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二</w:t>
            </w:r>
            <w:r>
              <w:rPr>
                <w:szCs w:val="21"/>
              </w:rPr>
              <w:t>节 汇率预测技术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外汇风险计量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四</w:t>
            </w:r>
            <w:r>
              <w:rPr>
                <w:szCs w:val="21"/>
              </w:rPr>
              <w:t>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外汇风险管理技术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跨国银行业务与经营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701"/>
              </w:tabs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第一节　</w:t>
            </w:r>
            <w:r>
              <w:rPr>
                <w:rFonts w:hint="eastAsia"/>
                <w:szCs w:val="21"/>
              </w:rPr>
              <w:t>跨国银行的产生与发展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 xml:space="preserve">第二节 </w:t>
            </w:r>
            <w:r>
              <w:rPr>
                <w:rFonts w:hint="eastAsia"/>
                <w:szCs w:val="21"/>
              </w:rPr>
              <w:t xml:space="preserve"> 跨国银行的组织架构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701"/>
              </w:tabs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节　</w:t>
            </w:r>
            <w:r>
              <w:rPr>
                <w:rFonts w:hint="eastAsia"/>
                <w:szCs w:val="21"/>
              </w:rPr>
              <w:t>跨国银行的业务与监督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四</w:t>
            </w:r>
            <w:r>
              <w:rPr>
                <w:szCs w:val="21"/>
              </w:rPr>
              <w:t xml:space="preserve">节 </w:t>
            </w:r>
            <w:r>
              <w:rPr>
                <w:rFonts w:hint="eastAsia"/>
                <w:szCs w:val="21"/>
              </w:rPr>
              <w:t>我国跨国银行的发展现状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国际收支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第一节 国际收支与国际收支平衡表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第二节　</w:t>
            </w:r>
            <w:r>
              <w:rPr>
                <w:rFonts w:hint="eastAsia"/>
                <w:szCs w:val="21"/>
              </w:rPr>
              <w:t>国际收支项目分析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</w:t>
            </w: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节　国际收支</w:t>
            </w:r>
            <w:r>
              <w:rPr>
                <w:rFonts w:hint="eastAsia"/>
                <w:szCs w:val="21"/>
              </w:rPr>
              <w:t>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开放经济下的宏观经济政策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开放经济的宏观分析框架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内外均衡冲突与政策搭配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固定和浮动汇率制下的宏观经济政策效应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汇率制度选择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第一节　</w:t>
            </w:r>
            <w:r>
              <w:rPr>
                <w:rFonts w:hint="eastAsia"/>
                <w:szCs w:val="21"/>
              </w:rPr>
              <w:t>国际货币体系沿革：</w:t>
            </w:r>
            <w:r>
              <w:rPr>
                <w:szCs w:val="21"/>
              </w:rPr>
              <w:t>固定汇率</w:t>
            </w:r>
            <w:r>
              <w:rPr>
                <w:rFonts w:hint="eastAsia"/>
                <w:szCs w:val="21"/>
              </w:rPr>
              <w:t>制</w:t>
            </w:r>
            <w:r>
              <w:rPr>
                <w:szCs w:val="21"/>
              </w:rPr>
              <w:t>和浮动汇率</w:t>
            </w:r>
            <w:r>
              <w:rPr>
                <w:rFonts w:hint="eastAsia"/>
                <w:szCs w:val="21"/>
              </w:rPr>
              <w:t>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701"/>
              </w:tabs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第二节　最适货币区的理论与实践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701"/>
              </w:tabs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第三节　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“美元化”道路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第四节　汇率目标区方案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国际资本流动与金融稳定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701"/>
              </w:tabs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第一节　国际资本流动概述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第二节　中长期国际资本流动</w:t>
            </w:r>
            <w:r>
              <w:rPr>
                <w:rFonts w:hint="eastAsia"/>
                <w:szCs w:val="21"/>
              </w:rPr>
              <w:t>与金融稳定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第三节　短期国际资本流动与</w:t>
            </w:r>
            <w:r>
              <w:rPr>
                <w:rFonts w:hint="eastAsia"/>
                <w:szCs w:val="21"/>
              </w:rPr>
              <w:t>金融稳定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第四节　</w:t>
            </w:r>
            <w:r>
              <w:rPr>
                <w:rFonts w:hint="eastAsia"/>
                <w:szCs w:val="21"/>
              </w:rPr>
              <w:t>国际资本流动影响金融稳定的主要机制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701"/>
              </w:tabs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szCs w:val="21"/>
              </w:rPr>
              <w:t>第五节　</w:t>
            </w:r>
            <w:r>
              <w:rPr>
                <w:rFonts w:hint="eastAsia"/>
                <w:szCs w:val="21"/>
              </w:rPr>
              <w:t>控制国际资本流动的不利影响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第十二章 金融危机的防范与管理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701"/>
              </w:tabs>
              <w:jc w:val="left"/>
              <w:rPr>
                <w:szCs w:val="21"/>
              </w:rPr>
            </w:pPr>
            <w:r>
              <w:rPr>
                <w:szCs w:val="21"/>
              </w:rPr>
              <w:t>第一节</w:t>
            </w:r>
            <w:r>
              <w:rPr>
                <w:rFonts w:hint="eastAsia"/>
                <w:szCs w:val="21"/>
              </w:rPr>
              <w:t xml:space="preserve"> 全球视角下的金融危机概览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701"/>
              </w:tabs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第二节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金融危机</w:t>
            </w:r>
            <w:r>
              <w:rPr>
                <w:rFonts w:hint="eastAsia"/>
                <w:szCs w:val="21"/>
              </w:rPr>
              <w:t>的</w:t>
            </w:r>
            <w:r>
              <w:rPr>
                <w:szCs w:val="21"/>
              </w:rPr>
              <w:t>理论</w:t>
            </w:r>
            <w:r>
              <w:rPr>
                <w:rFonts w:hint="eastAsia"/>
                <w:szCs w:val="21"/>
              </w:rPr>
              <w:t>解释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bookmarkStart w:id="8" w:name="_Toc4406549"/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widowControl/>
              <w:tabs>
                <w:tab w:val="left" w:pos="1701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>第三节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>国际经济政策协调</w:t>
            </w:r>
            <w:r>
              <w:rPr>
                <w:rFonts w:hint="eastAsia"/>
                <w:szCs w:val="21"/>
              </w:rPr>
              <w:t>和主要协调平台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国际金融学理论知识和方法的理解和掌握情况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运用国际金融学理论知识和方法解决实务问题的能力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国际金融意识和</w:t>
            </w:r>
            <w:r>
              <w:rPr>
                <w:rFonts w:hint="eastAsia" w:asciiTheme="minorEastAsia" w:hAnsiTheme="minorEastAsia"/>
                <w:szCs w:val="21"/>
              </w:rPr>
              <w:t>理念，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有关国际金融学前沿问题及相关实践的了解情况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选择题</w:t>
            </w:r>
            <w:r>
              <w:rPr>
                <w:rFonts w:ascii="Times New Roman" w:hAnsi="Times New Roman" w:eastAsia="宋体" w:cs="Times New Roman"/>
                <w:szCs w:val="21"/>
              </w:rPr>
              <w:t>、判断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题</w:t>
            </w:r>
            <w:r>
              <w:rPr>
                <w:rFonts w:ascii="Times New Roman" w:hAnsi="Times New Roman" w:eastAsia="宋体" w:cs="Times New Roman"/>
                <w:szCs w:val="21"/>
              </w:rPr>
              <w:t>、简答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题</w:t>
            </w:r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业务题</w:t>
            </w:r>
            <w:r>
              <w:rPr>
                <w:rFonts w:ascii="Times New Roman" w:hAnsi="Times New Roman" w:eastAsia="宋体" w:cs="Times New Roman"/>
                <w:szCs w:val="21"/>
              </w:rPr>
              <w:t>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92743"/>
    <w:rsid w:val="003C4383"/>
    <w:rsid w:val="003C4AF6"/>
    <w:rsid w:val="003E0CAC"/>
    <w:rsid w:val="003E6EC8"/>
    <w:rsid w:val="003F67C5"/>
    <w:rsid w:val="00400EAA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33261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3D27"/>
    <w:rsid w:val="00FD453B"/>
    <w:rsid w:val="00FD509B"/>
    <w:rsid w:val="00FD79FC"/>
    <w:rsid w:val="00FE1E55"/>
    <w:rsid w:val="00FE391F"/>
    <w:rsid w:val="00FF5B65"/>
    <w:rsid w:val="013D2024"/>
    <w:rsid w:val="01650A1D"/>
    <w:rsid w:val="01E4062B"/>
    <w:rsid w:val="02031D32"/>
    <w:rsid w:val="023D6E86"/>
    <w:rsid w:val="02A7153F"/>
    <w:rsid w:val="02EF08A8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5F387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6807C6"/>
    <w:rsid w:val="14AD037D"/>
    <w:rsid w:val="156C1A99"/>
    <w:rsid w:val="16A122DA"/>
    <w:rsid w:val="17660CA4"/>
    <w:rsid w:val="177F4089"/>
    <w:rsid w:val="184C6E85"/>
    <w:rsid w:val="194E43DF"/>
    <w:rsid w:val="1AD231F8"/>
    <w:rsid w:val="1B0C6CA8"/>
    <w:rsid w:val="1B7C43A1"/>
    <w:rsid w:val="1D512DFE"/>
    <w:rsid w:val="1D855533"/>
    <w:rsid w:val="1E8F757E"/>
    <w:rsid w:val="1EA31048"/>
    <w:rsid w:val="1EB16949"/>
    <w:rsid w:val="1EC769C9"/>
    <w:rsid w:val="1ECF4B45"/>
    <w:rsid w:val="1F4339E6"/>
    <w:rsid w:val="20C21853"/>
    <w:rsid w:val="20CD75DC"/>
    <w:rsid w:val="216B3D03"/>
    <w:rsid w:val="225A4896"/>
    <w:rsid w:val="22D55212"/>
    <w:rsid w:val="235210BF"/>
    <w:rsid w:val="239D63F1"/>
    <w:rsid w:val="25734AC0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163222"/>
    <w:rsid w:val="2D641A44"/>
    <w:rsid w:val="2DA07322"/>
    <w:rsid w:val="2DD45898"/>
    <w:rsid w:val="2E8670D0"/>
    <w:rsid w:val="2F1D27A7"/>
    <w:rsid w:val="2F252182"/>
    <w:rsid w:val="2F505C1A"/>
    <w:rsid w:val="300268F5"/>
    <w:rsid w:val="317347D8"/>
    <w:rsid w:val="319114AC"/>
    <w:rsid w:val="32203C92"/>
    <w:rsid w:val="3265646C"/>
    <w:rsid w:val="32AC6093"/>
    <w:rsid w:val="32C61641"/>
    <w:rsid w:val="332B1021"/>
    <w:rsid w:val="334525B8"/>
    <w:rsid w:val="33A34F66"/>
    <w:rsid w:val="34AD76FF"/>
    <w:rsid w:val="353D7DCC"/>
    <w:rsid w:val="35C063F0"/>
    <w:rsid w:val="36B949F4"/>
    <w:rsid w:val="37273A25"/>
    <w:rsid w:val="37937B36"/>
    <w:rsid w:val="37B21BD5"/>
    <w:rsid w:val="3814502E"/>
    <w:rsid w:val="38BE4FFC"/>
    <w:rsid w:val="39710CE1"/>
    <w:rsid w:val="3D6019E8"/>
    <w:rsid w:val="3E547CBC"/>
    <w:rsid w:val="3E8F7155"/>
    <w:rsid w:val="3EEB1042"/>
    <w:rsid w:val="3F225D50"/>
    <w:rsid w:val="406E39AF"/>
    <w:rsid w:val="41576BB8"/>
    <w:rsid w:val="42335E20"/>
    <w:rsid w:val="461E0DA3"/>
    <w:rsid w:val="47662BB4"/>
    <w:rsid w:val="47854B91"/>
    <w:rsid w:val="482875B3"/>
    <w:rsid w:val="48465CD4"/>
    <w:rsid w:val="495C2D6C"/>
    <w:rsid w:val="49B23A45"/>
    <w:rsid w:val="49BD37AB"/>
    <w:rsid w:val="4A2625F4"/>
    <w:rsid w:val="4B523F29"/>
    <w:rsid w:val="4BB7126F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3C928E6"/>
    <w:rsid w:val="54C4589C"/>
    <w:rsid w:val="55E31C2B"/>
    <w:rsid w:val="56B66EF3"/>
    <w:rsid w:val="56C20484"/>
    <w:rsid w:val="570E700F"/>
    <w:rsid w:val="578C1B7B"/>
    <w:rsid w:val="5A772811"/>
    <w:rsid w:val="5AF92ADB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A1944"/>
    <w:rsid w:val="654B08D8"/>
    <w:rsid w:val="66E47422"/>
    <w:rsid w:val="670E220E"/>
    <w:rsid w:val="67B447F4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CD71DE7"/>
    <w:rsid w:val="6D587BDA"/>
    <w:rsid w:val="6DB63DCA"/>
    <w:rsid w:val="6DC02EAC"/>
    <w:rsid w:val="70AF092F"/>
    <w:rsid w:val="72177393"/>
    <w:rsid w:val="722A37C9"/>
    <w:rsid w:val="72360152"/>
    <w:rsid w:val="723854D8"/>
    <w:rsid w:val="72432402"/>
    <w:rsid w:val="72921C93"/>
    <w:rsid w:val="72D04F2C"/>
    <w:rsid w:val="732A502D"/>
    <w:rsid w:val="73B14045"/>
    <w:rsid w:val="746A7AB4"/>
    <w:rsid w:val="751303C2"/>
    <w:rsid w:val="75501D93"/>
    <w:rsid w:val="75735C61"/>
    <w:rsid w:val="76175655"/>
    <w:rsid w:val="764E2749"/>
    <w:rsid w:val="76797A4B"/>
    <w:rsid w:val="77315EF9"/>
    <w:rsid w:val="790274B8"/>
    <w:rsid w:val="798E1F8F"/>
    <w:rsid w:val="7A4E6F05"/>
    <w:rsid w:val="7A9C5BF2"/>
    <w:rsid w:val="7AC11F2B"/>
    <w:rsid w:val="7AF407BC"/>
    <w:rsid w:val="7BCC26CA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D15F59-5E90-422A-BECB-7A3C129258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782</Words>
  <Characters>4460</Characters>
  <Lines>37</Lines>
  <Paragraphs>10</Paragraphs>
  <TotalTime>0</TotalTime>
  <ScaleCrop>false</ScaleCrop>
  <LinksUpToDate>false</LinksUpToDate>
  <CharactersWithSpaces>5232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2019-12-11T13:24:42Z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