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2540" b="3175"/>
                <wp:wrapNone/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计量经济学本科课程教学大纲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计量经济学本科课程教学大纲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2540" r="2540" b="0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编制人：王少芬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吴宜勇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编制人：王少芬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吴宜勇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2540" r="0" b="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编制时间：2019年6月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编制时间：2019年6月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计量经济学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conometrics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18505040300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经济统计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王少芬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席建国、王少芬、陈春华、刘建华、……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概率论与数理统计、统计学原理、西方经济学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李子奈，潘文卿.计量经济学（第四版）.北京：高等教育出版社，2017.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《计量经济学》（第三版），庞皓，北京：科学出版社，2014.07；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《计量经济学》（上、下册）（第五版）古扎拉蒂，中国人民大学出版社；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李子奈，潘文卿.计量经济学（第四版）.北京：高等教育出版社，2017.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通过学习本课程，使学生能够在经济分析的基础上，依据样本信息建立计量经济学模型的基本思想，掌握其初步方法，领会其基本思路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着重说明计量经济分析方法的直观意义、应用条件及计量经济分析结果的经济意义及统计意义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教学中注意培养学生动手操作的能力，运用计算机软件完成分析计算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了解计量经济学前沿理论和实践，形成计量经济学学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知识。牢固掌握经济学和统计学学科的基本知识、基础理论和基本应用技能；掌握经济运行规律和经济指标的内在联系；熟悉理论运用的市场环境、政策依据和政策效果；了解经济统计学理论发展前沿和实践发展现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1.1工具性知识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（1）熟练掌握计算机和现代信息技术，能够运用现代信息技术和数据库进行文献检索、数据处理、模型设计、研究分析和论文写作。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毕业要求2：能力要求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leftChars="200"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具有利用创造性思维开展科学研究和创业就业的能力；具有较强的沟通能力和团队合作能力。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leftChars="200"/>
              <w:rPr>
                <w:rFonts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正确的人生观、价值观和世界观；具有良好的道德修养、职业素养、法治意识和社会责任感；具有持续的创新精神、创业意识；具有完整的知识结构和良好的科学素养、人文素养；具有较高的文化品位和审美情趣；具有良好的身体素质和健康的心理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毕业要求2：能力要求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left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具有较强的写作和语言表达能力；具有自主学习、独立思考、不断接受新知识、新理论、新技术的能力；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</w:p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8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绪论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1.了解计量经济学的学科性质，基本概念和内容体系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2.掌握建立与应用计量经济学模型的主要步骤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3.认识学习计量经济学课程的重要性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4.了解计量经济学的应用领域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1.计量经济学概述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2.计量经济学、模型、内容体系、地位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3.建立计量经济学模型的步骤和要点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4.理论模型的设计、样本数据的收集、模型参数的估计、模型的检验、计量经济模型成功的三要素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5.计量经济学模型的应用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6.结构分析、经济预测、政策评价、检验与发展经济理论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7.了解计量经济学模型应用的范围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1.计量经济学与经济学、统计学、数学之间的关系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2.建模型步骤中理论模型的设计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3.模型的四重检验：经济意义检验、统计检验、计量经济学检验、预测检验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经典单方程计量经济学模型：一元线性回归模型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1.掌握一元线性回归模型的基本理论与方法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2.能够推导和证明普通最小二乘估计的参数估计式和相关结论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3.掌握对模型的经济意义检验和统计检验的基本方法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4.应用计量经济学软件进行简单线性回归模型的普通最小二乘估计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1.回归分析基本概念及回归函数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2.总体回归函数以及样本回归函数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3.一元线性回归模型的参数估计：基本假设，参数的普通最小二乘法，参数估计的最大似然法，最小二乘估计量的性质，参数估计量的概率分布及随机干扰项方差的估计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4.一元线性回归模型的统计检验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5.一元线性回归分析的应用：预测问题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6.案例分析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1.一元线性回归模型的基本假定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2.掌握OLS，ML等基本的参数估计方法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3.拟合优度的检验、显著性检验、参数的置信区间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4.总体条件均值与个别值预测值的置信区间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经典单方程计量经济学模型：多元线性回归模型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1.掌握单方程多元线性回归模型的基本理论与方法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2.掌握单方程多元线性回归模型参数估计与统计检验方法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3.能够独立完成建立单方程多元线性回归模型的全过程工作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4.掌握非线性模型的线性化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5.掌握虚拟变量模型的基本概念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6.了解模型受约束回归问题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1.多元线性回归模型及其基本假定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2.多元线性回归模型的参数估计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3.多元线性回归模型的统计检验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4.多元线性回归模型的预测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5.可化为线性的多元非线性回归模型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6.含有虚拟变量的多元线性回归模型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7.受约束回归：模型参数的线性约束、对回归模型增加或减少解释变量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1.基本假定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2.普通最小二乘法、最大似然估计、矩估计法、参数估计量的性质、样本容量问题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3.拟合优度的检验、显著性检验、参数的置信区间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4.总体条件均值与个别值预测值的置信区间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5.模型的类型与变换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6.虚拟变量的概念及引入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9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经典单方程计量经济学模型：放宽基本假定的模型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1.掌握多重共线性的基本理论及相应的处理方法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2.掌握异方差性的基本理论与方法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3.了解内生解释变量问题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4.了解模型设定偏误问题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1.多重共线性的概念、实际经济问题中的多重共线性、后果、检验及克服多重共线性问题方法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1.异方差的概念、类型、异方差产生的原因、异方差性的检验及修正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3.内生解释变量问题的提出、实际经济问题中的内生解释变量问题、后果、工具变量法、内生性检验与过度识别约束检验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4.模型设定偏误的类型、后果、检验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1.异方差的检验：图示检验法、布罗施-帕甘检验、怀特检验及修正原理，加权最小二乘法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2.多重共线性的检验、方差膨胀因子、逐步回归法、及修正原理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3.内生解释变量的检验及工具变量法的原理、豪斯曼检验、过度识别约束检验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4.模型设定偏误RESET检验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时间序列计量经济学模型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1.到理解序列相关的基本概念；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2.了解序列相关出现的原因和严重后果；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3.掌握诊断序列相关存在的方法和修正序列相关的方法；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4.能够根据本章的知识解决模型中的序列相关问题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1.了解序列相关性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2.实际经济问题中的序列相关性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3.序列相关性的后果、检验、补救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4.虚假序列相关问题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1.序列相关的定义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2.序列相关的检验：图示检验法、D.W检验法、拉格朗日乘数检验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3.序列相关的补救：广义最小二乘法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绪论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计量经济学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建立经典单方程计量经济学模型的步骤和要点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计量经济学模型的应用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本书内容安排说明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经典单方程计量经济学模型：一元线性回归模型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回归分析概述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一元线性回归模型的基本假设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一元线性回归模型的参数估计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一元线性回归模型的统计检验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一元线性回归模型的应用:</w:t>
            </w:r>
          </w:p>
          <w:p>
            <w:pPr>
              <w:adjustRightInd w:val="0"/>
              <w:snapToGrid w:val="0"/>
              <w:spacing w:line="320" w:lineRule="exact"/>
              <w:ind w:firstLine="735" w:firstLineChars="3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预测问题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建模实例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经典单方程计量经济学模型：多元线性回归模型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多元线性回归模型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多元线性回归模型的参数估计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多元线性回归模型的统计检验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多元线性回归模型的预测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可化为线性的多元非线性回归模型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含有虚拟变量的多元线性回归模型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第七节 受约束回归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经典单方程计量经济学模型：放宽基本假定的模型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多重共线性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异方差性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内生解释问题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模型设定偏误问题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时间序列计量经济学模型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时间序列模型的序列相关性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2、3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有关计量经济学理论知识和方法的理解和掌握情况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应用计量经济学理论知识和方法解决经济分析问题的能力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解决计量经济问题时具有创新性思维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有关计量经济学前沿问题及相关实践的了解情况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笔试，题型有选择题、判断题、概念题、简答题、计算题等，考核内容涵盖了所学的基本知识点，不仅考核学生对基本知识点的掌握程度，而且也考察对相关知识和理论运用的能力。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B7931"/>
    <w:rsid w:val="001C46E2"/>
    <w:rsid w:val="001D043B"/>
    <w:rsid w:val="001D69AC"/>
    <w:rsid w:val="00200CA7"/>
    <w:rsid w:val="00216BF0"/>
    <w:rsid w:val="0024034B"/>
    <w:rsid w:val="0025194F"/>
    <w:rsid w:val="0026507B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3FA8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12039"/>
    <w:rsid w:val="00433FCF"/>
    <w:rsid w:val="00455E63"/>
    <w:rsid w:val="00471D9A"/>
    <w:rsid w:val="00487BE6"/>
    <w:rsid w:val="00495177"/>
    <w:rsid w:val="004972F0"/>
    <w:rsid w:val="004B47A0"/>
    <w:rsid w:val="004B7B5C"/>
    <w:rsid w:val="004C23BB"/>
    <w:rsid w:val="004E31F6"/>
    <w:rsid w:val="00522980"/>
    <w:rsid w:val="00524163"/>
    <w:rsid w:val="00527E3A"/>
    <w:rsid w:val="00547A9A"/>
    <w:rsid w:val="00560B9E"/>
    <w:rsid w:val="00580B0E"/>
    <w:rsid w:val="00591D85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2C95"/>
    <w:rsid w:val="0062581F"/>
    <w:rsid w:val="006625D0"/>
    <w:rsid w:val="00670894"/>
    <w:rsid w:val="006917A8"/>
    <w:rsid w:val="006A496B"/>
    <w:rsid w:val="006B0650"/>
    <w:rsid w:val="006C30F5"/>
    <w:rsid w:val="00707982"/>
    <w:rsid w:val="0073439B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E4B48"/>
    <w:rsid w:val="007F238B"/>
    <w:rsid w:val="00813B5D"/>
    <w:rsid w:val="00817571"/>
    <w:rsid w:val="008208FB"/>
    <w:rsid w:val="00825A8D"/>
    <w:rsid w:val="008550DA"/>
    <w:rsid w:val="00857496"/>
    <w:rsid w:val="00890594"/>
    <w:rsid w:val="008B68A5"/>
    <w:rsid w:val="008C54FB"/>
    <w:rsid w:val="008D5A5A"/>
    <w:rsid w:val="008E4BFB"/>
    <w:rsid w:val="008F3AF5"/>
    <w:rsid w:val="008F77D7"/>
    <w:rsid w:val="0090431C"/>
    <w:rsid w:val="009108C5"/>
    <w:rsid w:val="00946429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0750"/>
    <w:rsid w:val="00A63A90"/>
    <w:rsid w:val="00A64766"/>
    <w:rsid w:val="00A701B0"/>
    <w:rsid w:val="00A8272E"/>
    <w:rsid w:val="00A86CCD"/>
    <w:rsid w:val="00A92254"/>
    <w:rsid w:val="00AA688E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02A47"/>
    <w:rsid w:val="00C22109"/>
    <w:rsid w:val="00C2216C"/>
    <w:rsid w:val="00C33035"/>
    <w:rsid w:val="00C43ECF"/>
    <w:rsid w:val="00C52152"/>
    <w:rsid w:val="00C53B5D"/>
    <w:rsid w:val="00C67E6F"/>
    <w:rsid w:val="00C71C8F"/>
    <w:rsid w:val="00CB35E6"/>
    <w:rsid w:val="00CB3F29"/>
    <w:rsid w:val="00CC173A"/>
    <w:rsid w:val="00CC6E75"/>
    <w:rsid w:val="00CD6D95"/>
    <w:rsid w:val="00CE7FE0"/>
    <w:rsid w:val="00CF4C8A"/>
    <w:rsid w:val="00D07D36"/>
    <w:rsid w:val="00D10761"/>
    <w:rsid w:val="00D17C36"/>
    <w:rsid w:val="00D21823"/>
    <w:rsid w:val="00D22B4E"/>
    <w:rsid w:val="00D2653D"/>
    <w:rsid w:val="00D269E3"/>
    <w:rsid w:val="00D272D0"/>
    <w:rsid w:val="00D50FB4"/>
    <w:rsid w:val="00D71417"/>
    <w:rsid w:val="00D72D32"/>
    <w:rsid w:val="00D821A1"/>
    <w:rsid w:val="00DA53B6"/>
    <w:rsid w:val="00DF401D"/>
    <w:rsid w:val="00E01950"/>
    <w:rsid w:val="00E07880"/>
    <w:rsid w:val="00E16E39"/>
    <w:rsid w:val="00E40F3F"/>
    <w:rsid w:val="00E61FC2"/>
    <w:rsid w:val="00E65070"/>
    <w:rsid w:val="00E715E0"/>
    <w:rsid w:val="00E87965"/>
    <w:rsid w:val="00E92610"/>
    <w:rsid w:val="00E946BA"/>
    <w:rsid w:val="00EA310E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2A22C3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1C603-4FDB-4A8E-8A03-5F0A21C01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611</Words>
  <Characters>3483</Characters>
  <Lines>29</Lines>
  <Paragraphs>8</Paragraphs>
  <TotalTime>130</TotalTime>
  <ScaleCrop>false</ScaleCrop>
  <LinksUpToDate>false</LinksUpToDate>
  <CharactersWithSpaces>4086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2019-06-22T03:00:00Z</dcterms:created>
  <dc:creator>User</dc:creator>
  <cp:lastModifiedBy>Administrator</cp:lastModifiedBy>
  <cp:lastPrinted>2019-03-21T12:39:00Z</cp:lastPrinted>
  <dcterms:modified xsi:type="dcterms:W3CDTF">2019-12-11T13:01:24Z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