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7353CC">
        <w:rPr>
          <w:rFonts w:ascii="黑体" w:eastAsia="黑体" w:hAnsi="黑体"/>
          <w:noProof/>
          <w:sz w:val="30"/>
          <w:szCs w:val="30"/>
        </w:rPr>
        <w:pict>
          <v:rect id="_x0000_s1040" style="position:absolute;margin-left:-35.6pt;margin-top:-25pt;width:515.4pt;height:1in;z-index:251671552;mso-position-horizontal-relative:text;mso-position-vertical-relative:text;v-text-anchor:middle" filled="f" stroked="f">
            <v:textbox style="mso-next-textbox:#_x0000_s1040">
              <w:txbxContent>
                <w:p w:rsidR="00A92254" w:rsidRDefault="00E515E8" w:rsidP="00A92254">
                  <w:pPr>
                    <w:jc w:val="center"/>
                  </w:pPr>
                  <w:r w:rsidRPr="00E515E8">
                    <w:rPr>
                      <w:rFonts w:ascii="微软雅黑" w:eastAsia="微软雅黑" w:hAnsi="微软雅黑" w:cs="微软雅黑" w:hint="eastAsia"/>
                      <w:sz w:val="44"/>
                      <w:szCs w:val="44"/>
                    </w:rPr>
                    <w:t>固定收益证券</w:t>
                  </w:r>
                  <w:r w:rsidR="00A92254" w:rsidRPr="00323D55"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 w:rsidR="00A92254" w:rsidRPr="00E946BA" w:rsidRDefault="00E515E8" w:rsidP="00A92254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 </w:t>
      </w:r>
    </w:p>
    <w:p w:rsidR="00A92254" w:rsidRDefault="007353CC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w:pict>
          <v:rect id="_x0000_s1042" style="position:absolute;margin-left:239.2pt;margin-top:3.2pt;width:216.6pt;height:66.6pt;z-index:251673600;v-text-anchor:middle" filled="f" stroked="f">
            <v:textbox style="mso-next-textbox:#_x0000_s1042">
              <w:txbxContent>
                <w:p w:rsidR="00A92254" w:rsidRPr="00323D55" w:rsidRDefault="00A92254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 w:rsidRPr="00323D55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</w:t>
                  </w:r>
                  <w:r w:rsidR="00E515E8" w:rsidRPr="00E515E8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梁贺新</w:t>
                  </w:r>
                </w:p>
                <w:p w:rsidR="00A92254" w:rsidRDefault="00A92254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0C5141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乔红芳</w:t>
                  </w:r>
                </w:p>
                <w:p w:rsidR="00A92254" w:rsidRPr="00C4638F" w:rsidRDefault="00A92254" w:rsidP="00A92254"/>
              </w:txbxContent>
            </v:textbox>
          </v:rect>
        </w:pict>
      </w:r>
      <w:r>
        <w:rPr>
          <w:rFonts w:ascii="仿宋_GB2312" w:eastAsia="仿宋_GB2312" w:hAnsi="黑体"/>
          <w:noProof/>
          <w:sz w:val="30"/>
          <w:szCs w:val="30"/>
        </w:rPr>
        <w:pict>
          <v:rect id="_x0000_s1041" style="position:absolute;margin-left:-6.8pt;margin-top:3.2pt;width:229.8pt;height:66.6pt;z-index:251672576;v-text-anchor:middle" filled="f" stroked="f">
            <v:textbox style="mso-next-textbox:#_x0000_s1041">
              <w:txbxContent>
                <w:p w:rsidR="00A92254" w:rsidRPr="00323D55" w:rsidRDefault="00A92254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开课部门：</w:t>
                  </w:r>
                  <w:r w:rsidR="00E515E8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金融与统计系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   </w:t>
                  </w:r>
                </w:p>
                <w:p w:rsidR="00A92254" w:rsidRDefault="00A92254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</w:t>
                  </w:r>
                  <w:r w:rsidR="00BE6F72">
                    <w:rPr>
                      <w:rFonts w:ascii="仿宋_GB2312" w:eastAsia="仿宋_GB2312" w:hAnsi="黑体" w:hint="eastAsia"/>
                      <w:kern w:val="0"/>
                      <w:sz w:val="30"/>
                      <w:szCs w:val="30"/>
                    </w:rPr>
                    <w:t xml:space="preserve">2019年6月30日 </w:t>
                  </w:r>
                  <w:bookmarkStart w:id="2" w:name="_GoBack"/>
                  <w:bookmarkEnd w:id="2"/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</w:t>
                  </w:r>
                </w:p>
                <w:p w:rsidR="00A92254" w:rsidRPr="00C4638F" w:rsidRDefault="00A92254" w:rsidP="00A92254"/>
              </w:txbxContent>
            </v:textbox>
          </v:rect>
        </w:pict>
      </w:r>
    </w:p>
    <w:p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A92254" w:rsidRPr="005219CE" w:rsidRDefault="00A92254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</w:p>
    <w:p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5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92141" w:rsidRPr="007E1E48" w:rsidRDefault="00371030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71030">
              <w:rPr>
                <w:rFonts w:ascii="宋体" w:eastAsia="宋体" w:hAnsi="宋体" w:hint="eastAsia"/>
                <w:sz w:val="24"/>
                <w:szCs w:val="24"/>
              </w:rPr>
              <w:t>固定收益证券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92141" w:rsidRPr="007E1E48" w:rsidRDefault="0058723A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723A">
              <w:rPr>
                <w:rFonts w:ascii="宋体" w:eastAsia="宋体" w:hAnsi="宋体"/>
                <w:sz w:val="24"/>
                <w:szCs w:val="24"/>
              </w:rPr>
              <w:t>Fixed-Income Securities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983B78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E33A7">
              <w:rPr>
                <w:rFonts w:ascii="宋体" w:hAnsi="宋体"/>
                <w:color w:val="000000"/>
                <w:kern w:val="0"/>
                <w:szCs w:val="21"/>
              </w:rPr>
              <w:t>18826050300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7E1E48" w:rsidRDefault="00BD5137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D5137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  <w:r w:rsidR="00C72525" w:rsidRPr="00C72525">
              <w:rPr>
                <w:rFonts w:ascii="宋体" w:eastAsia="宋体" w:hAnsi="宋体" w:hint="eastAsia"/>
                <w:sz w:val="24"/>
                <w:szCs w:val="24"/>
              </w:rPr>
              <w:t>选修课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BD5137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7E1E48" w:rsidRDefault="00BD5137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48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BF24C3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经济与金融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="007D4FB9">
              <w:rPr>
                <w:rFonts w:ascii="宋体" w:eastAsia="宋体" w:hAnsi="宋体" w:hint="eastAsia"/>
                <w:sz w:val="24"/>
                <w:szCs w:val="24"/>
              </w:rPr>
              <w:t>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2141" w:rsidRPr="007E1E48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792141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E91461" w:rsidRDefault="00E91461" w:rsidP="00E91461">
            <w:pPr>
              <w:rPr>
                <w:rFonts w:ascii="宋体" w:eastAsia="宋体" w:hAnsi="宋体"/>
                <w:sz w:val="24"/>
                <w:szCs w:val="24"/>
              </w:rPr>
            </w:pPr>
            <w:r w:rsidRPr="00E91461">
              <w:rPr>
                <w:rFonts w:ascii="宋体" w:eastAsia="宋体" w:hAnsi="宋体" w:hint="eastAsia"/>
                <w:sz w:val="24"/>
                <w:szCs w:val="24"/>
              </w:rPr>
              <w:t>微观经济学、宏观经济学、金融学、公司金融、国际金融学、证券投资学、金融机构与金融市场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6E5529" w:rsidRDefault="006E5529" w:rsidP="006E552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E5529">
              <w:rPr>
                <w:rFonts w:ascii="宋体" w:eastAsia="宋体" w:hAnsi="宋体" w:hint="eastAsia"/>
                <w:sz w:val="24"/>
                <w:szCs w:val="24"/>
              </w:rPr>
              <w:t>类承曜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6E5529">
              <w:rPr>
                <w:rFonts w:ascii="宋体" w:eastAsia="宋体" w:hAnsi="宋体" w:hint="eastAsia"/>
                <w:sz w:val="24"/>
                <w:szCs w:val="24"/>
              </w:rPr>
              <w:t>固定收益证券（第四版）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北京：</w:t>
            </w:r>
            <w:r w:rsidRPr="006E5529">
              <w:rPr>
                <w:rFonts w:ascii="宋体" w:eastAsia="宋体" w:hAnsi="宋体" w:hint="eastAsia"/>
                <w:sz w:val="24"/>
                <w:szCs w:val="24"/>
              </w:rPr>
              <w:t>中国人民大学出版社</w:t>
            </w:r>
            <w:r w:rsidR="000776BB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2016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DD1FED" w:rsidRPr="00DD1FED" w:rsidRDefault="00DD1FED" w:rsidP="00DD1FED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 w:rsidRPr="00DD1FED">
              <w:rPr>
                <w:rFonts w:ascii="宋体" w:hAnsi="宋体" w:hint="eastAsia"/>
                <w:sz w:val="24"/>
                <w:szCs w:val="24"/>
              </w:rPr>
              <w:t>弗兰克·J.法博齐.固定收益证券手册（第八版）.北京：中国人民大学出版社，2018.</w:t>
            </w:r>
          </w:p>
          <w:p w:rsidR="00DD1FED" w:rsidRPr="00DD1FED" w:rsidRDefault="00DD1FED" w:rsidP="00DD1FED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 w:rsidRPr="00DD1FED">
              <w:rPr>
                <w:rFonts w:ascii="宋体" w:hAnsi="宋体" w:hint="eastAsia"/>
                <w:sz w:val="24"/>
                <w:szCs w:val="24"/>
              </w:rPr>
              <w:t>彼得罗·韦罗内西.固定收益证券.北京：机械工业出版社，2019.</w:t>
            </w:r>
          </w:p>
          <w:p w:rsidR="00DD1FED" w:rsidRPr="00DD1FED" w:rsidRDefault="00DD1FED" w:rsidP="00DD1FED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 w:rsidRPr="00DD1FED">
              <w:rPr>
                <w:rFonts w:ascii="宋体" w:hAnsi="宋体" w:hint="eastAsia"/>
                <w:sz w:val="24"/>
                <w:szCs w:val="24"/>
              </w:rPr>
              <w:t>塔克曼，塞拉特.固定收益证券.北京：机械工业出版社，2014.</w:t>
            </w:r>
          </w:p>
          <w:p w:rsidR="00792141" w:rsidRPr="00DD1FED" w:rsidRDefault="00DD1FED" w:rsidP="00DD1FED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 w:rsidRPr="00DD1FED">
              <w:rPr>
                <w:rFonts w:ascii="宋体" w:hAnsi="宋体" w:hint="eastAsia"/>
                <w:sz w:val="24"/>
                <w:szCs w:val="24"/>
              </w:rPr>
              <w:t>周远.固定收益证券理论与实务.北京：经济科学出版社，2018.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6E5529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E5529">
              <w:rPr>
                <w:rFonts w:ascii="宋体" w:eastAsia="宋体" w:hAnsi="宋体" w:hint="eastAsia"/>
                <w:sz w:val="24"/>
                <w:szCs w:val="24"/>
              </w:rPr>
              <w:t>类承曜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6E5529">
              <w:rPr>
                <w:rFonts w:ascii="宋体" w:eastAsia="宋体" w:hAnsi="宋体" w:hint="eastAsia"/>
                <w:sz w:val="24"/>
                <w:szCs w:val="24"/>
              </w:rPr>
              <w:t>固定收益证券（第四版）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北京：</w:t>
            </w:r>
            <w:r w:rsidRPr="006E5529">
              <w:rPr>
                <w:rFonts w:ascii="宋体" w:eastAsia="宋体" w:hAnsi="宋体" w:hint="eastAsia"/>
                <w:sz w:val="24"/>
                <w:szCs w:val="24"/>
              </w:rPr>
              <w:t>中国人民大学出版社</w:t>
            </w:r>
            <w:r w:rsidR="000776BB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2016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</w:p>
        </w:tc>
      </w:tr>
    </w:tbl>
    <w:p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  <w:r w:rsidRPr="00B118F1">
        <w:rPr>
          <w:rFonts w:ascii="黑体" w:eastAsia="黑体" w:hAnsi="黑体" w:hint="eastAsia"/>
          <w:sz w:val="30"/>
          <w:szCs w:val="30"/>
        </w:rPr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3"/>
      <w:bookmarkEnd w:id="4"/>
    </w:p>
    <w:p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5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53241" w:rsidRPr="009E5D44" w:rsidRDefault="0085628C" w:rsidP="00953241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了解及掌握关于</w:t>
            </w:r>
            <w:r w:rsidR="00953241">
              <w:rPr>
                <w:rFonts w:ascii="宋体" w:eastAsia="宋体" w:hAnsi="宋体" w:hint="eastAsia"/>
                <w:szCs w:val="21"/>
              </w:rPr>
              <w:t>固定收益证券</w:t>
            </w:r>
            <w:r>
              <w:rPr>
                <w:rFonts w:ascii="宋体" w:eastAsia="宋体" w:hAnsi="宋体" w:hint="eastAsia"/>
                <w:szCs w:val="21"/>
              </w:rPr>
              <w:t>的基本知识</w:t>
            </w:r>
          </w:p>
        </w:tc>
      </w:tr>
      <w:tr w:rsidR="00953241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41" w:rsidRPr="009E5D44" w:rsidRDefault="003163C9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53241" w:rsidRDefault="003163C9" w:rsidP="00953241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结合课程所学知识，关注并熟悉国家有关固定收益证券市场的方针、政策和法律法规，了解国内外</w:t>
            </w:r>
            <w:r w:rsidRPr="003163C9">
              <w:rPr>
                <w:rFonts w:ascii="宋体" w:eastAsia="宋体" w:hAnsi="宋体" w:hint="eastAsia"/>
                <w:szCs w:val="21"/>
              </w:rPr>
              <w:t>固定收益证券市场</w:t>
            </w:r>
            <w:r>
              <w:rPr>
                <w:rFonts w:ascii="宋体" w:eastAsia="宋体" w:hAnsi="宋体" w:hint="eastAsia"/>
                <w:szCs w:val="21"/>
              </w:rPr>
              <w:t>的发展动态，培养运用专业思维分析市场现象的意识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3E5B31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426346" w:rsidP="009E5D44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通过课程中分析方法及工具的学习，拓展视野，培养创新性思维及创新能力，</w:t>
            </w:r>
            <w:r w:rsidR="0085628C">
              <w:rPr>
                <w:rFonts w:ascii="宋体" w:eastAsia="宋体" w:hAnsi="宋体" w:hint="eastAsia"/>
                <w:szCs w:val="21"/>
              </w:rPr>
              <w:t>具备运用所学知识从事相关实践活动的能力</w:t>
            </w:r>
          </w:p>
        </w:tc>
      </w:tr>
    </w:tbl>
    <w:p w:rsidR="002D233C" w:rsidRPr="00FF5B65" w:rsidRDefault="002D233C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5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F01623" w:rsidRPr="00B75A41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:rsidR="00F01623" w:rsidRPr="00B75A41" w:rsidRDefault="00F01623" w:rsidP="00F0162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F01623" w:rsidRPr="00B75A41" w:rsidRDefault="00F01623" w:rsidP="00F01623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F01623" w:rsidRPr="00B75A41" w:rsidRDefault="00F01623" w:rsidP="00F016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C7046"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DC7046">
              <w:rPr>
                <w:rFonts w:ascii="宋体" w:eastAsia="宋体" w:hAnsi="宋体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 w:rsidR="00001AD9" w:rsidRPr="00B75A41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:rsidR="00001AD9" w:rsidRPr="00B75A41" w:rsidRDefault="00001AD9" w:rsidP="00001AD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001AD9" w:rsidRPr="00B75A41" w:rsidRDefault="00001AD9" w:rsidP="00001AD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:rsidR="00001AD9" w:rsidRPr="00243EBA" w:rsidRDefault="00001AD9" w:rsidP="00001AD9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DC7046">
              <w:rPr>
                <w:rFonts w:cstheme="minorBidi"/>
                <w:sz w:val="21"/>
                <w:szCs w:val="21"/>
              </w:rPr>
              <w:t>2.2 专业素质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 w:rsidRPr="00DC7046">
              <w:rPr>
                <w:rFonts w:cstheme="minorBidi"/>
                <w:sz w:val="21"/>
                <w:szCs w:val="21"/>
              </w:rPr>
              <w:t>具有金融专业思维和较强的学科意识。熟悉国家有关金融的方针、政策和法律法规，了解国内外金融发展动态。</w:t>
            </w:r>
          </w:p>
        </w:tc>
      </w:tr>
      <w:tr w:rsidR="00351B8E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351B8E" w:rsidRPr="00B75A41" w:rsidRDefault="00351B8E" w:rsidP="00351B8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351B8E" w:rsidRPr="00B75A41" w:rsidRDefault="00351B8E" w:rsidP="00351B8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351B8E" w:rsidRPr="005E1972" w:rsidRDefault="00351B8E" w:rsidP="00351B8E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5E1972">
              <w:rPr>
                <w:rFonts w:cstheme="minorBidi"/>
                <w:sz w:val="21"/>
                <w:szCs w:val="21"/>
              </w:rPr>
              <w:t>3.2 实践应用能力</w:t>
            </w:r>
            <w:r w:rsidRPr="005E1972">
              <w:rPr>
                <w:rFonts w:cstheme="minorBidi" w:hint="eastAsia"/>
                <w:sz w:val="21"/>
                <w:szCs w:val="21"/>
              </w:rPr>
              <w:t>。</w:t>
            </w:r>
            <w:r w:rsidRPr="005E1972">
              <w:rPr>
                <w:rFonts w:cstheme="minorBidi"/>
                <w:sz w:val="21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能够运用专业理论知识和现代经济学研究方法，具备一定的科学研究能力。</w:t>
            </w:r>
          </w:p>
        </w:tc>
      </w:tr>
      <w:tr w:rsidR="00351B8E" w:rsidRPr="00B75A41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351B8E" w:rsidRPr="00B75A41" w:rsidRDefault="00351B8E" w:rsidP="00351B8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351B8E" w:rsidRPr="00B75A41" w:rsidRDefault="00351B8E" w:rsidP="00351B8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351B8E" w:rsidRPr="00E178ED" w:rsidRDefault="00351B8E" w:rsidP="00351B8E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E178ED">
              <w:rPr>
                <w:rFonts w:cstheme="minorBidi"/>
                <w:sz w:val="21"/>
                <w:szCs w:val="21"/>
              </w:rPr>
              <w:t>3.3 创新创业能力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 w:rsidRPr="00E178ED">
              <w:rPr>
                <w:rFonts w:cstheme="minorBidi"/>
                <w:sz w:val="21"/>
                <w:szCs w:val="21"/>
              </w:rPr>
              <w:t>既要有创新意识，也要有创新能力和创业能力。能够把握金融发展的趋势，学以致用，创造性地解决实际金融问题。具有专业敏感性，在激烈的市场竞争和国际竞争中敢于创新，善于创新。</w:t>
            </w:r>
          </w:p>
        </w:tc>
      </w:tr>
    </w:tbl>
    <w:p w:rsidR="009904EF" w:rsidRPr="00B118F1" w:rsidRDefault="009904EF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7"/>
      <w:bookmarkStart w:id="6" w:name="_Toc2371665"/>
      <w:r w:rsidRPr="00B118F1">
        <w:rPr>
          <w:rFonts w:ascii="黑体" w:eastAsia="黑体" w:hAnsi="黑体"/>
          <w:sz w:val="30"/>
          <w:szCs w:val="30"/>
        </w:rPr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96"/>
        <w:gridCol w:w="2617"/>
        <w:gridCol w:w="2838"/>
        <w:gridCol w:w="1975"/>
      </w:tblGrid>
      <w:tr w:rsidR="009904EF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996" w:type="dxa"/>
            <w:vAlign w:val="center"/>
          </w:tcPr>
          <w:p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617" w:type="dxa"/>
            <w:vAlign w:val="center"/>
          </w:tcPr>
          <w:p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 w:rsidR="00054858" w:rsidRPr="00B75A41" w:rsidRDefault="0005485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第一章 债券的基本知识</w:t>
            </w:r>
          </w:p>
        </w:tc>
        <w:tc>
          <w:tcPr>
            <w:tcW w:w="2617" w:type="dxa"/>
            <w:vAlign w:val="center"/>
          </w:tcPr>
          <w:p w:rsidR="009904EF" w:rsidRDefault="0005485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掌握固定收益证券和债券的区别；</w:t>
            </w:r>
          </w:p>
          <w:p w:rsidR="00054858" w:rsidRDefault="0005485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掌握债券的定义和特征；</w:t>
            </w:r>
          </w:p>
          <w:p w:rsidR="00054858" w:rsidRDefault="0005485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掌握债券的风险；</w:t>
            </w:r>
          </w:p>
          <w:p w:rsidR="00054858" w:rsidRDefault="0005485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熟悉债券的种类；</w:t>
            </w:r>
          </w:p>
          <w:p w:rsidR="00054858" w:rsidRPr="00054858" w:rsidRDefault="0005485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熟悉中国债券品种。</w:t>
            </w:r>
          </w:p>
        </w:tc>
        <w:tc>
          <w:tcPr>
            <w:tcW w:w="2838" w:type="dxa"/>
            <w:vAlign w:val="center"/>
          </w:tcPr>
          <w:p w:rsidR="009904EF" w:rsidRDefault="0005485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债券的定义和特征；</w:t>
            </w:r>
          </w:p>
          <w:p w:rsidR="00054858" w:rsidRDefault="0005485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债券的风险；</w:t>
            </w:r>
          </w:p>
          <w:p w:rsidR="00054858" w:rsidRPr="00B75A41" w:rsidRDefault="003B0605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债券的种类</w:t>
            </w:r>
          </w:p>
        </w:tc>
        <w:tc>
          <w:tcPr>
            <w:tcW w:w="1975" w:type="dxa"/>
            <w:vAlign w:val="center"/>
          </w:tcPr>
          <w:p w:rsidR="009904EF" w:rsidRPr="00B75A41" w:rsidRDefault="0005485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债券的风险</w:t>
            </w:r>
          </w:p>
        </w:tc>
      </w:tr>
      <w:tr w:rsidR="009904EF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996" w:type="dxa"/>
            <w:vAlign w:val="center"/>
          </w:tcPr>
          <w:p w:rsidR="009904EF" w:rsidRPr="00B75A41" w:rsidRDefault="0005485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第二章 债券市场和债券交易</w:t>
            </w:r>
          </w:p>
        </w:tc>
        <w:tc>
          <w:tcPr>
            <w:tcW w:w="2617" w:type="dxa"/>
            <w:vAlign w:val="center"/>
          </w:tcPr>
          <w:p w:rsidR="009904EF" w:rsidRDefault="00E03032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熟悉固定收益证券市场的定义，掌握固定收益证券市场的分类；</w:t>
            </w:r>
          </w:p>
          <w:p w:rsidR="00E03032" w:rsidRDefault="00E03032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熟悉债券发行方式、金融机构在债券发行中的作用；</w:t>
            </w:r>
          </w:p>
          <w:p w:rsidR="00E03032" w:rsidRDefault="00182CF9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熟悉债券的流通市场和价格形成方式；</w:t>
            </w:r>
          </w:p>
          <w:p w:rsidR="00182CF9" w:rsidRDefault="00182CF9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掌握债券结算的定义、债券的交易方式、债券的交割交收方式、债券结算方式；</w:t>
            </w:r>
          </w:p>
          <w:p w:rsidR="00182CF9" w:rsidRDefault="00182CF9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了解我国国债市场的演变，熟悉我国国债的发行方式</w:t>
            </w:r>
            <w:r w:rsidR="00D23C7B">
              <w:rPr>
                <w:rFonts w:ascii="宋体" w:eastAsia="宋体" w:hAnsi="宋体" w:hint="eastAsia"/>
                <w:szCs w:val="21"/>
              </w:rPr>
              <w:t>；</w:t>
            </w:r>
          </w:p>
          <w:p w:rsidR="00D23C7B" w:rsidRPr="00B75A41" w:rsidRDefault="00D23C7B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了解债券评级机构的作用、评级的程序、评级的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等级划分。</w:t>
            </w:r>
          </w:p>
        </w:tc>
        <w:tc>
          <w:tcPr>
            <w:tcW w:w="2838" w:type="dxa"/>
            <w:vAlign w:val="center"/>
          </w:tcPr>
          <w:p w:rsidR="009904EF" w:rsidRDefault="00D23C7B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固定收益证券市场的分类；</w:t>
            </w:r>
          </w:p>
          <w:p w:rsidR="00D23C7B" w:rsidRPr="00B75A41" w:rsidRDefault="003B0605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债券的结算和交易方式</w:t>
            </w:r>
          </w:p>
        </w:tc>
        <w:tc>
          <w:tcPr>
            <w:tcW w:w="1975" w:type="dxa"/>
            <w:vAlign w:val="center"/>
          </w:tcPr>
          <w:p w:rsidR="009904EF" w:rsidRPr="00B75A41" w:rsidRDefault="00D23C7B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债券的结算和交易方式</w:t>
            </w:r>
          </w:p>
        </w:tc>
      </w:tr>
      <w:tr w:rsidR="009904EF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B75A41" w:rsidRDefault="008A1547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3</w:t>
            </w:r>
          </w:p>
        </w:tc>
        <w:tc>
          <w:tcPr>
            <w:tcW w:w="1996" w:type="dxa"/>
            <w:vAlign w:val="center"/>
          </w:tcPr>
          <w:p w:rsidR="009904EF" w:rsidRPr="00B75A41" w:rsidRDefault="007A68D7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第三章 债券的价格</w:t>
            </w:r>
          </w:p>
        </w:tc>
        <w:tc>
          <w:tcPr>
            <w:tcW w:w="2617" w:type="dxa"/>
            <w:vAlign w:val="center"/>
          </w:tcPr>
          <w:p w:rsidR="009904EF" w:rsidRDefault="002C5822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掌握货币的时间价值的相关计算，包括终值的计算、现值的计算、年金现值的计算；</w:t>
            </w:r>
          </w:p>
          <w:p w:rsidR="002C5822" w:rsidRDefault="002C5822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掌握简单情况下附息债券价值的计算，掌握债券价格和面值的关系，掌握影响债券价格的因素；</w:t>
            </w:r>
          </w:p>
          <w:p w:rsidR="002C5822" w:rsidRPr="00B75A41" w:rsidRDefault="002C5822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掌握复杂情况下债券价值的计算。</w:t>
            </w:r>
          </w:p>
        </w:tc>
        <w:tc>
          <w:tcPr>
            <w:tcW w:w="2838" w:type="dxa"/>
            <w:vAlign w:val="center"/>
          </w:tcPr>
          <w:p w:rsidR="009904EF" w:rsidRDefault="0039236B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货币的时间价值的相关计算；</w:t>
            </w:r>
          </w:p>
          <w:p w:rsidR="0039236B" w:rsidRDefault="0039236B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简单情况下附息债券价值的计算；</w:t>
            </w:r>
          </w:p>
          <w:p w:rsidR="0039236B" w:rsidRPr="00B75A41" w:rsidRDefault="0039236B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复杂情况下债券价值的计算。</w:t>
            </w:r>
          </w:p>
        </w:tc>
        <w:tc>
          <w:tcPr>
            <w:tcW w:w="1975" w:type="dxa"/>
            <w:vAlign w:val="center"/>
          </w:tcPr>
          <w:p w:rsidR="009904EF" w:rsidRPr="00B75A41" w:rsidRDefault="001B749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复杂情况下债券价值的计算</w:t>
            </w:r>
          </w:p>
        </w:tc>
      </w:tr>
      <w:tr w:rsidR="009904EF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B75A41" w:rsidRDefault="008A1547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996" w:type="dxa"/>
            <w:vAlign w:val="center"/>
          </w:tcPr>
          <w:p w:rsidR="009904EF" w:rsidRPr="00B75A41" w:rsidRDefault="002C5822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第四章 债券的收益率</w:t>
            </w:r>
          </w:p>
        </w:tc>
        <w:tc>
          <w:tcPr>
            <w:tcW w:w="2617" w:type="dxa"/>
            <w:vAlign w:val="center"/>
          </w:tcPr>
          <w:p w:rsidR="009904EF" w:rsidRDefault="00E4482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掌握到期收益率、当期收益率和特殊债券的收益率衡量、债券组合的收益率、与收益率有关的重要概念；</w:t>
            </w:r>
          </w:p>
          <w:p w:rsidR="00E44828" w:rsidRDefault="008F1AF2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熟悉债券总收益的构成，掌握债券总收益率的计算；</w:t>
            </w:r>
          </w:p>
          <w:p w:rsidR="008F1AF2" w:rsidRPr="00B75A41" w:rsidRDefault="008F1AF2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掌握债券组合的历史业绩的衡量方法。</w:t>
            </w:r>
          </w:p>
        </w:tc>
        <w:tc>
          <w:tcPr>
            <w:tcW w:w="2838" w:type="dxa"/>
            <w:vAlign w:val="center"/>
          </w:tcPr>
          <w:p w:rsidR="009904EF" w:rsidRDefault="008F1AF2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债券收益率的衡量；</w:t>
            </w:r>
          </w:p>
          <w:p w:rsidR="008F1AF2" w:rsidRDefault="008F1AF2" w:rsidP="008F1AF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债券总收益率的计算；</w:t>
            </w:r>
          </w:p>
          <w:p w:rsidR="008F1AF2" w:rsidRPr="008F1AF2" w:rsidRDefault="008F1AF2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债券组合的历史业绩的衡量方法。</w:t>
            </w:r>
          </w:p>
        </w:tc>
        <w:tc>
          <w:tcPr>
            <w:tcW w:w="1975" w:type="dxa"/>
            <w:vAlign w:val="center"/>
          </w:tcPr>
          <w:p w:rsidR="002452D0" w:rsidRDefault="002452D0" w:rsidP="002452D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债券总收益率的计算；</w:t>
            </w:r>
          </w:p>
          <w:p w:rsidR="009904EF" w:rsidRPr="00B75A41" w:rsidRDefault="002452D0" w:rsidP="002452D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债券组合的历史业绩的衡量方法</w:t>
            </w:r>
          </w:p>
        </w:tc>
      </w:tr>
      <w:tr w:rsidR="008550DA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8550DA" w:rsidRPr="00B75A41" w:rsidRDefault="008A1547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996" w:type="dxa"/>
            <w:vAlign w:val="center"/>
          </w:tcPr>
          <w:p w:rsidR="008550DA" w:rsidRPr="00B75A41" w:rsidRDefault="008A1547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第五章 债券价格波动性的衡量</w:t>
            </w:r>
          </w:p>
        </w:tc>
        <w:tc>
          <w:tcPr>
            <w:tcW w:w="2617" w:type="dxa"/>
            <w:vAlign w:val="center"/>
          </w:tcPr>
          <w:p w:rsidR="008550DA" w:rsidRDefault="009D246F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掌握债券价格与收益率的关系；</w:t>
            </w:r>
          </w:p>
          <w:p w:rsidR="009D246F" w:rsidRDefault="009D246F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熟悉债券价格波动性的特点；</w:t>
            </w:r>
          </w:p>
          <w:p w:rsidR="009D246F" w:rsidRPr="00B75A41" w:rsidRDefault="009D246F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掌握价格波动性的衡量方法，包括基点价格值、价格变化的收益值、久期和凸性</w:t>
            </w:r>
          </w:p>
        </w:tc>
        <w:tc>
          <w:tcPr>
            <w:tcW w:w="2838" w:type="dxa"/>
            <w:vAlign w:val="center"/>
          </w:tcPr>
          <w:p w:rsidR="008550DA" w:rsidRPr="00B75A41" w:rsidRDefault="009D246F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价格波动性的衡量方法，包括基点价格值、价格变化的收益值、久期和凸性</w:t>
            </w:r>
          </w:p>
        </w:tc>
        <w:tc>
          <w:tcPr>
            <w:tcW w:w="1975" w:type="dxa"/>
            <w:vAlign w:val="center"/>
          </w:tcPr>
          <w:p w:rsidR="008550DA" w:rsidRPr="00B75A41" w:rsidRDefault="009D246F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价格波动性的衡量方法：久期和凸性</w:t>
            </w:r>
          </w:p>
        </w:tc>
      </w:tr>
      <w:tr w:rsidR="008A1547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8A1547" w:rsidRPr="00B75A41" w:rsidRDefault="008A1547" w:rsidP="008A154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996" w:type="dxa"/>
            <w:vAlign w:val="center"/>
          </w:tcPr>
          <w:p w:rsidR="008A1547" w:rsidRPr="00B75A41" w:rsidRDefault="00E776FF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第六章 利率决定与利率结构</w:t>
            </w:r>
          </w:p>
        </w:tc>
        <w:tc>
          <w:tcPr>
            <w:tcW w:w="2617" w:type="dxa"/>
            <w:vAlign w:val="center"/>
          </w:tcPr>
          <w:p w:rsidR="008A1547" w:rsidRDefault="00E776FF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熟悉利率的定义、利率的衡量、名义利率与实际利率的区别；</w:t>
            </w:r>
          </w:p>
          <w:p w:rsidR="00E776FF" w:rsidRDefault="00E776FF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掌握名义利率的决定因素；</w:t>
            </w:r>
          </w:p>
          <w:p w:rsidR="00E776FF" w:rsidRDefault="000D02D2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掌握利率风险结构；</w:t>
            </w:r>
          </w:p>
          <w:p w:rsidR="000D02D2" w:rsidRDefault="000D02D2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掌握利率期限结构；</w:t>
            </w:r>
          </w:p>
          <w:p w:rsidR="000D02D2" w:rsidRDefault="000D02D2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熟悉收益率曲线的推导方法；</w:t>
            </w:r>
          </w:p>
          <w:p w:rsidR="000D02D2" w:rsidRPr="00B75A41" w:rsidRDefault="000D02D2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掌握利用收益率曲线正确计算债券价格。</w:t>
            </w:r>
          </w:p>
        </w:tc>
        <w:tc>
          <w:tcPr>
            <w:tcW w:w="2838" w:type="dxa"/>
            <w:vAlign w:val="center"/>
          </w:tcPr>
          <w:p w:rsidR="008A1547" w:rsidRDefault="00455AE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利率风险结构；</w:t>
            </w:r>
          </w:p>
          <w:p w:rsidR="00455AED" w:rsidRPr="00B75A41" w:rsidRDefault="00455AE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利率期限结构</w:t>
            </w:r>
          </w:p>
        </w:tc>
        <w:tc>
          <w:tcPr>
            <w:tcW w:w="1975" w:type="dxa"/>
            <w:vAlign w:val="center"/>
          </w:tcPr>
          <w:p w:rsidR="008A1547" w:rsidRPr="00455AED" w:rsidRDefault="00455AE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收益率曲线的推导方法</w:t>
            </w:r>
          </w:p>
        </w:tc>
      </w:tr>
      <w:tr w:rsidR="008A1547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8A1547" w:rsidRPr="00B75A41" w:rsidRDefault="008A1547" w:rsidP="008A154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996" w:type="dxa"/>
            <w:vAlign w:val="center"/>
          </w:tcPr>
          <w:p w:rsidR="008A1547" w:rsidRPr="00B75A41" w:rsidRDefault="00455AE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第七章 债券投资组合管理策略</w:t>
            </w:r>
          </w:p>
        </w:tc>
        <w:tc>
          <w:tcPr>
            <w:tcW w:w="2617" w:type="dxa"/>
            <w:vAlign w:val="center"/>
          </w:tcPr>
          <w:p w:rsidR="008A1547" w:rsidRDefault="009E0C10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了解债券投资组合策略的选择；</w:t>
            </w:r>
          </w:p>
          <w:p w:rsidR="009E0C10" w:rsidRDefault="009E0C10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掌握消极的债券组合管理策略；</w:t>
            </w:r>
          </w:p>
          <w:p w:rsidR="009E0C10" w:rsidRDefault="009E0C10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掌握积极的债券组合管理策略；</w:t>
            </w:r>
          </w:p>
          <w:p w:rsidR="009E0C10" w:rsidRPr="00B75A41" w:rsidRDefault="009E0C10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掌握或有免疫策略。</w:t>
            </w:r>
          </w:p>
        </w:tc>
        <w:tc>
          <w:tcPr>
            <w:tcW w:w="2838" w:type="dxa"/>
            <w:vAlign w:val="center"/>
          </w:tcPr>
          <w:p w:rsidR="009E0C10" w:rsidRDefault="009E0C10" w:rsidP="009E0C1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消极的债券组合管理策略；</w:t>
            </w:r>
          </w:p>
          <w:p w:rsidR="008A1547" w:rsidRPr="009E0C10" w:rsidRDefault="009E0C10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积极的债券组合管理策略</w:t>
            </w:r>
          </w:p>
        </w:tc>
        <w:tc>
          <w:tcPr>
            <w:tcW w:w="1975" w:type="dxa"/>
            <w:vAlign w:val="center"/>
          </w:tcPr>
          <w:p w:rsidR="008A1547" w:rsidRDefault="00BB1F95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积极的债券组合管理策略；</w:t>
            </w:r>
          </w:p>
          <w:p w:rsidR="00BB1F95" w:rsidRPr="00B75A41" w:rsidRDefault="00BB1F95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或有免疫策略</w:t>
            </w:r>
          </w:p>
        </w:tc>
      </w:tr>
      <w:tr w:rsidR="00455AED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455AED" w:rsidRDefault="00455AED" w:rsidP="008A154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996" w:type="dxa"/>
            <w:vAlign w:val="center"/>
          </w:tcPr>
          <w:p w:rsidR="00455AED" w:rsidRDefault="00455AE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第八章 </w:t>
            </w:r>
            <w:r w:rsidR="009C5864">
              <w:rPr>
                <w:rFonts w:ascii="宋体" w:eastAsia="宋体" w:hAnsi="宋体" w:hint="eastAsia"/>
                <w:szCs w:val="21"/>
              </w:rPr>
              <w:t>利率衍生金融工具简介</w:t>
            </w:r>
          </w:p>
        </w:tc>
        <w:tc>
          <w:tcPr>
            <w:tcW w:w="2617" w:type="dxa"/>
            <w:vAlign w:val="center"/>
          </w:tcPr>
          <w:p w:rsidR="00455AED" w:rsidRDefault="003B7ED7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了解利率期货交易的机制，</w:t>
            </w:r>
            <w:r w:rsidR="00D14E42">
              <w:rPr>
                <w:rFonts w:ascii="宋体" w:eastAsia="宋体" w:hAnsi="宋体" w:hint="eastAsia"/>
                <w:szCs w:val="21"/>
              </w:rPr>
              <w:t>掌握</w:t>
            </w:r>
            <w:r>
              <w:rPr>
                <w:rFonts w:ascii="宋体" w:eastAsia="宋体" w:hAnsi="宋体" w:hint="eastAsia"/>
                <w:szCs w:val="21"/>
              </w:rPr>
              <w:t>利率期货合约与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利率远期合约的区别；</w:t>
            </w:r>
          </w:p>
          <w:p w:rsidR="003B7ED7" w:rsidRDefault="003B7ED7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熟悉利率期权的要素和类型，</w:t>
            </w:r>
            <w:r w:rsidR="00D14E42">
              <w:rPr>
                <w:rFonts w:ascii="宋体" w:eastAsia="宋体" w:hAnsi="宋体" w:hint="eastAsia"/>
                <w:szCs w:val="21"/>
              </w:rPr>
              <w:t>了解期权清算公司的功能，熟悉期权交易类型</w:t>
            </w:r>
            <w:r w:rsidR="00875318">
              <w:rPr>
                <w:rFonts w:ascii="宋体" w:eastAsia="宋体" w:hAnsi="宋体" w:hint="eastAsia"/>
                <w:szCs w:val="21"/>
              </w:rPr>
              <w:t>，熟悉期权交易策略的损益，掌握利率期权策略及其损益分析；</w:t>
            </w:r>
          </w:p>
          <w:p w:rsidR="00875318" w:rsidRDefault="0087531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熟悉利率互换的定义和要素，掌握利率互换的用途，了解利率互换银行及利率互换的平仓；</w:t>
            </w:r>
          </w:p>
          <w:p w:rsidR="00875318" w:rsidRPr="00B75A41" w:rsidRDefault="00E0122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了解利率上限、利率下限和利率双限。</w:t>
            </w:r>
          </w:p>
        </w:tc>
        <w:tc>
          <w:tcPr>
            <w:tcW w:w="2838" w:type="dxa"/>
            <w:vAlign w:val="center"/>
          </w:tcPr>
          <w:p w:rsidR="00455AED" w:rsidRDefault="0087531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期权交易策略的损益；</w:t>
            </w:r>
          </w:p>
          <w:p w:rsidR="00875318" w:rsidRPr="00B75A41" w:rsidRDefault="0087531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利率期权策略及其损益分析</w:t>
            </w:r>
          </w:p>
        </w:tc>
        <w:tc>
          <w:tcPr>
            <w:tcW w:w="1975" w:type="dxa"/>
            <w:vAlign w:val="center"/>
          </w:tcPr>
          <w:p w:rsidR="00E0122A" w:rsidRDefault="00E0122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利率期权策略的损益分析；</w:t>
            </w:r>
          </w:p>
          <w:p w:rsidR="00455AED" w:rsidRPr="00B75A41" w:rsidRDefault="0087531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利率互换的用途</w:t>
            </w:r>
          </w:p>
        </w:tc>
      </w:tr>
    </w:tbl>
    <w:p w:rsidR="0062581F" w:rsidRPr="00B118F1" w:rsidRDefault="0062581F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r w:rsidRPr="00B118F1">
        <w:rPr>
          <w:rFonts w:ascii="黑体" w:eastAsia="黑体" w:hAnsi="黑体" w:hint="eastAsia"/>
          <w:sz w:val="30"/>
          <w:szCs w:val="30"/>
        </w:rPr>
        <w:lastRenderedPageBreak/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4111"/>
        <w:gridCol w:w="1701"/>
        <w:gridCol w:w="708"/>
        <w:gridCol w:w="1240"/>
      </w:tblGrid>
      <w:tr w:rsidR="00D07D36" w:rsidRPr="00B75A41" w:rsidTr="00B75A41">
        <w:trPr>
          <w:trHeight w:val="454"/>
          <w:jc w:val="center"/>
        </w:trPr>
        <w:tc>
          <w:tcPr>
            <w:tcW w:w="675" w:type="dxa"/>
            <w:vAlign w:val="center"/>
          </w:tcPr>
          <w:p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7274CA" w:rsidRPr="00B75A41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7274CA" w:rsidRPr="00B75A41" w:rsidRDefault="007274CA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7274CA" w:rsidRPr="00B75A41" w:rsidRDefault="007274C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C6568">
              <w:rPr>
                <w:rFonts w:ascii="宋体" w:eastAsia="宋体" w:hAnsi="宋体" w:hint="eastAsia"/>
                <w:szCs w:val="21"/>
              </w:rPr>
              <w:t>第一章 债券的基本知识</w:t>
            </w:r>
          </w:p>
        </w:tc>
        <w:tc>
          <w:tcPr>
            <w:tcW w:w="4111" w:type="dxa"/>
            <w:vAlign w:val="center"/>
          </w:tcPr>
          <w:p w:rsidR="007274CA" w:rsidRPr="00B75A41" w:rsidRDefault="007274C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固定收益证券和债券的定义</w:t>
            </w:r>
          </w:p>
        </w:tc>
        <w:tc>
          <w:tcPr>
            <w:tcW w:w="1701" w:type="dxa"/>
            <w:vAlign w:val="center"/>
          </w:tcPr>
          <w:p w:rsidR="007274CA" w:rsidRPr="00B75A41" w:rsidRDefault="0056250A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7274CA" w:rsidRPr="00B75A41" w:rsidRDefault="007274CA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7274CA" w:rsidRPr="00B75A41" w:rsidRDefault="00FC3244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FC32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7274CA" w:rsidRPr="00B75A41" w:rsidTr="00612E9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7274CA" w:rsidRPr="00B75A41" w:rsidRDefault="007274CA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7274CA" w:rsidRPr="00B75A41" w:rsidRDefault="007274C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7274CA" w:rsidRPr="00B75A41" w:rsidRDefault="007274CA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债券的风险</w:t>
            </w:r>
          </w:p>
        </w:tc>
        <w:tc>
          <w:tcPr>
            <w:tcW w:w="1701" w:type="dxa"/>
            <w:vAlign w:val="center"/>
          </w:tcPr>
          <w:p w:rsidR="007274CA" w:rsidRPr="00B75A41" w:rsidRDefault="0056250A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7274CA" w:rsidRPr="00B75A41" w:rsidRDefault="007274CA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7274CA" w:rsidRPr="00B75A41" w:rsidRDefault="00FC3244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FC32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EC0559" w:rsidRPr="00B75A41" w:rsidTr="00612E9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C0559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债券的种类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FC32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EC0559" w:rsidRPr="00B75A41" w:rsidTr="00612E9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C0559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中国债券品种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3B5D5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EC0559" w:rsidRPr="00B75A41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C6568">
              <w:rPr>
                <w:rFonts w:ascii="宋体" w:eastAsia="宋体" w:hAnsi="宋体" w:hint="eastAsia"/>
                <w:szCs w:val="21"/>
              </w:rPr>
              <w:t>第二章 债券市场和债券交易</w:t>
            </w:r>
          </w:p>
        </w:tc>
        <w:tc>
          <w:tcPr>
            <w:tcW w:w="4111" w:type="dxa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固定收益证券市场的定义和分类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FC32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EC0559" w:rsidRPr="00B75A41" w:rsidTr="003B5D54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债券的发行市场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FC32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EC0559" w:rsidRPr="00B75A41" w:rsidTr="003B5D54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C0559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债券的流通市场和价格形成方式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FC32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EC0559" w:rsidRPr="00B75A41" w:rsidTr="003B5D54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C0559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债券的结算和交易方式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FC32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EC0559" w:rsidRPr="00B75A41" w:rsidTr="00B75A41">
        <w:trPr>
          <w:trHeight w:val="520"/>
          <w:jc w:val="center"/>
        </w:trPr>
        <w:tc>
          <w:tcPr>
            <w:tcW w:w="675" w:type="dxa"/>
            <w:vMerge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C0559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中国国债市场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3B5D5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EC0559" w:rsidRPr="00B75A41" w:rsidTr="0056250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债券评级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FC32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EC0559" w:rsidRPr="00B75A41" w:rsidTr="002F4D7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C6568">
              <w:rPr>
                <w:rFonts w:ascii="宋体" w:eastAsia="宋体" w:hAnsi="宋体" w:hint="eastAsia"/>
                <w:szCs w:val="21"/>
              </w:rPr>
              <w:t>第三章 债券的价格</w:t>
            </w:r>
          </w:p>
        </w:tc>
        <w:tc>
          <w:tcPr>
            <w:tcW w:w="4111" w:type="dxa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货币的时间价值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FC32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EC0559" w:rsidRPr="00B75A41" w:rsidTr="002F4D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债券的价值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B0DE7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EC0559" w:rsidRPr="00B75A41" w:rsidTr="002F4D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复杂情况下债券价值的计算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B0DE7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EC0559" w:rsidRPr="00B75A41" w:rsidTr="002F4D7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C6568">
              <w:rPr>
                <w:rFonts w:ascii="宋体" w:eastAsia="宋体" w:hAnsi="宋体" w:hint="eastAsia"/>
                <w:szCs w:val="21"/>
              </w:rPr>
              <w:t>第四章 债券的收益率</w:t>
            </w:r>
          </w:p>
        </w:tc>
        <w:tc>
          <w:tcPr>
            <w:tcW w:w="4111" w:type="dxa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债券收益率的衡量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B0DE7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EC0559" w:rsidRPr="00B75A41" w:rsidTr="002F4D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债券总收益的潜在来源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B0DE7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EC0559" w:rsidRPr="00B75A41" w:rsidTr="002F4D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衡量债券组合的历史业绩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B0DE7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EC0559" w:rsidRPr="00B75A41" w:rsidTr="002F4D7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C6568">
              <w:rPr>
                <w:rFonts w:ascii="宋体" w:eastAsia="宋体" w:hAnsi="宋体" w:hint="eastAsia"/>
                <w:szCs w:val="21"/>
              </w:rPr>
              <w:t>第五章 债券价格波动性的衡量</w:t>
            </w:r>
          </w:p>
        </w:tc>
        <w:tc>
          <w:tcPr>
            <w:tcW w:w="4111" w:type="dxa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债券价格与收益率的关系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A75603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EC0559" w:rsidRPr="00B75A41" w:rsidTr="002F4D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C0559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C0559" w:rsidRPr="001C6568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债券价格波动性的特点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A75603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EC0559" w:rsidRPr="00B75A41" w:rsidTr="002F4D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C0559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C0559" w:rsidRPr="001C6568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价格波动性的衡量</w:t>
            </w:r>
            <w:r>
              <w:rPr>
                <w:rFonts w:ascii="宋体" w:eastAsia="宋体" w:hAnsi="宋体"/>
                <w:szCs w:val="21"/>
              </w:rPr>
              <w:fldChar w:fldCharType="begin"/>
            </w:r>
            <w:r>
              <w:rPr>
                <w:rFonts w:ascii="宋体" w:eastAsia="宋体" w:hAnsi="宋体"/>
                <w:szCs w:val="21"/>
              </w:rPr>
              <w:instrText xml:space="preserve"> </w:instrText>
            </w:r>
            <w:r>
              <w:rPr>
                <w:rFonts w:ascii="宋体" w:eastAsia="宋体" w:hAnsi="宋体" w:hint="eastAsia"/>
                <w:szCs w:val="21"/>
              </w:rPr>
              <w:instrText>= 1 \* ROMAN</w:instrText>
            </w:r>
            <w:r>
              <w:rPr>
                <w:rFonts w:ascii="宋体" w:eastAsia="宋体" w:hAnsi="宋体"/>
                <w:szCs w:val="21"/>
              </w:rPr>
              <w:instrText xml:space="preserve"> </w:instrText>
            </w:r>
            <w:r>
              <w:rPr>
                <w:rFonts w:ascii="宋体" w:eastAsia="宋体" w:hAnsi="宋体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Cs w:val="21"/>
              </w:rPr>
              <w:t>I</w:t>
            </w:r>
            <w:r>
              <w:rPr>
                <w:rFonts w:ascii="宋体" w:eastAsia="宋体" w:hAnsi="宋体"/>
                <w:szCs w:val="21"/>
              </w:rPr>
              <w:fldChar w:fldCharType="end"/>
            </w:r>
            <w:r>
              <w:rPr>
                <w:rFonts w:ascii="宋体" w:eastAsia="宋体" w:hAnsi="宋体" w:hint="eastAsia"/>
                <w:szCs w:val="21"/>
              </w:rPr>
              <w:t>：基点价格值和价格变化的收益值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A75603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EC0559" w:rsidRPr="00B75A41" w:rsidTr="002F4D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C0559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C0559" w:rsidRPr="001C6568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价格波动性的衡量</w:t>
            </w:r>
            <w:r>
              <w:rPr>
                <w:rFonts w:ascii="宋体" w:eastAsia="宋体" w:hAnsi="宋体"/>
                <w:szCs w:val="21"/>
              </w:rPr>
              <w:fldChar w:fldCharType="begin"/>
            </w:r>
            <w:r>
              <w:rPr>
                <w:rFonts w:ascii="宋体" w:eastAsia="宋体" w:hAnsi="宋体"/>
                <w:szCs w:val="21"/>
              </w:rPr>
              <w:instrText xml:space="preserve"> </w:instrText>
            </w:r>
            <w:r>
              <w:rPr>
                <w:rFonts w:ascii="宋体" w:eastAsia="宋体" w:hAnsi="宋体" w:hint="eastAsia"/>
                <w:szCs w:val="21"/>
              </w:rPr>
              <w:instrText>= 2 \* ROMAN</w:instrText>
            </w:r>
            <w:r>
              <w:rPr>
                <w:rFonts w:ascii="宋体" w:eastAsia="宋体" w:hAnsi="宋体"/>
                <w:szCs w:val="21"/>
              </w:rPr>
              <w:instrText xml:space="preserve"> </w:instrText>
            </w:r>
            <w:r>
              <w:rPr>
                <w:rFonts w:ascii="宋体" w:eastAsia="宋体" w:hAnsi="宋体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Cs w:val="21"/>
              </w:rPr>
              <w:t>II</w:t>
            </w:r>
            <w:r>
              <w:rPr>
                <w:rFonts w:ascii="宋体" w:eastAsia="宋体" w:hAnsi="宋体"/>
                <w:szCs w:val="21"/>
              </w:rPr>
              <w:fldChar w:fldCharType="end"/>
            </w:r>
            <w:r>
              <w:rPr>
                <w:rFonts w:ascii="宋体" w:eastAsia="宋体" w:hAnsi="宋体" w:hint="eastAsia"/>
                <w:szCs w:val="21"/>
              </w:rPr>
              <w:t>：凸性和久期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A75603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EC0559" w:rsidRPr="00B75A41" w:rsidTr="002F4D7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C0559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C6568">
              <w:rPr>
                <w:rFonts w:ascii="宋体" w:eastAsia="宋体" w:hAnsi="宋体" w:hint="eastAsia"/>
                <w:szCs w:val="21"/>
              </w:rPr>
              <w:t>第六章 利率决定与利率结构</w:t>
            </w:r>
          </w:p>
        </w:tc>
        <w:tc>
          <w:tcPr>
            <w:tcW w:w="4111" w:type="dxa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利率概述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97515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EC0559" w:rsidRPr="00B75A41" w:rsidTr="002F4D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C0559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C0559" w:rsidRPr="001C6568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名义利率的决定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97515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EC0559" w:rsidRPr="00B75A41" w:rsidTr="002F4D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C0559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C0559" w:rsidRPr="001C6568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 xml:space="preserve">利率风险结构 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97515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EC0559" w:rsidRPr="00B75A41" w:rsidTr="002F4D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C0559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C0559" w:rsidRPr="001C6568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利率期限结构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97515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EC0559" w:rsidRPr="00B75A41" w:rsidTr="002F4D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C0559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C0559" w:rsidRPr="001C6568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推导收益率曲线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97515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EC0559" w:rsidRPr="00B75A41" w:rsidTr="002F4D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C0559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C0559" w:rsidRPr="001C6568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利用收益率曲线正确计算债券价格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97515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EC0559" w:rsidRPr="00B75A41" w:rsidTr="002F4D7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C0559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C6568">
              <w:rPr>
                <w:rFonts w:ascii="宋体" w:eastAsia="宋体" w:hAnsi="宋体" w:hint="eastAsia"/>
                <w:szCs w:val="21"/>
              </w:rPr>
              <w:t>第七章 债券投资组合管理策略</w:t>
            </w:r>
          </w:p>
        </w:tc>
        <w:tc>
          <w:tcPr>
            <w:tcW w:w="4111" w:type="dxa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债券投资组合策略的选择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97515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EC0559" w:rsidRPr="00B75A41" w:rsidTr="002F4D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C0559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C0559" w:rsidRPr="001C6568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消极的债券组合管理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97515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EC0559" w:rsidRPr="00B75A41" w:rsidTr="002F4D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C0559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C0559" w:rsidRPr="001C6568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积极的债券组合管理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97515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EC0559" w:rsidRPr="00B75A41" w:rsidTr="002F4D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C0559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C0559" w:rsidRPr="001C6568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期限分析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97515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EC0559" w:rsidRPr="00B75A41" w:rsidTr="002F4D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C0559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C0559" w:rsidRPr="001C6568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收益率曲线变动策略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97515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EC0559" w:rsidRPr="00B75A41" w:rsidTr="002F4D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C0559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C0559" w:rsidRPr="001C6568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或有免疫策略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97515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EC0559" w:rsidRPr="00B75A41" w:rsidTr="002F4D7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C0559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EC0559" w:rsidRPr="001C6568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  <w:p w:rsidR="00EC0559" w:rsidRPr="001C6568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C6568">
              <w:rPr>
                <w:rFonts w:ascii="宋体" w:eastAsia="宋体" w:hAnsi="宋体" w:hint="eastAsia"/>
                <w:szCs w:val="21"/>
              </w:rPr>
              <w:t>第八章 利率衍生金融工具简介</w:t>
            </w:r>
          </w:p>
        </w:tc>
        <w:tc>
          <w:tcPr>
            <w:tcW w:w="4111" w:type="dxa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远期利率合约和利率期货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EC0559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5E2D49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FB6429" w:rsidRPr="00B75A41" w:rsidRDefault="00FB642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FB6429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EC0559" w:rsidRPr="00B75A41" w:rsidTr="002F4D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C0559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C0559" w:rsidRPr="001C6568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利率期权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:rsidR="00EC0559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5E2D49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FB6429" w:rsidRDefault="00FB642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FB6429"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51085D" w:rsidRPr="00B75A41" w:rsidRDefault="0051085D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97515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EC0559" w:rsidRPr="00B75A41" w:rsidTr="002F4D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C0559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C0559" w:rsidRPr="001C6568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利率互换合约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C0559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5E2D49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FB6429" w:rsidRPr="00B75A41" w:rsidRDefault="00FB642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FB6429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  <w:tr w:rsidR="00EC0559" w:rsidRPr="00B75A41" w:rsidTr="002F4D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C0559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C0559" w:rsidRPr="001C6568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C0559" w:rsidRPr="00B75A41" w:rsidRDefault="00EC0559" w:rsidP="00EC055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 xml:space="preserve">. </w:t>
            </w:r>
            <w:r>
              <w:rPr>
                <w:rFonts w:ascii="宋体" w:eastAsia="宋体" w:hAnsi="宋体" w:hint="eastAsia"/>
                <w:szCs w:val="21"/>
              </w:rPr>
              <w:t>利率上限、利率下限和利率双限</w:t>
            </w:r>
          </w:p>
        </w:tc>
        <w:tc>
          <w:tcPr>
            <w:tcW w:w="1701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56250A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EC0559" w:rsidRPr="00B75A41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C0559" w:rsidRDefault="00EC055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5E2D49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FB6429" w:rsidRPr="00B75A41" w:rsidRDefault="00FB6429" w:rsidP="00EC055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FB6429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</w:tr>
    </w:tbl>
    <w:p w:rsidR="00A546A2" w:rsidRPr="00B118F1" w:rsidRDefault="00A546A2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 w:rsidRPr="00B118F1"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A546A2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546A2" w:rsidRPr="00B75A41" w:rsidRDefault="003505E2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3505E2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46A2" w:rsidRPr="00B75A41" w:rsidRDefault="003505E2" w:rsidP="00B75A41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 w:rsidRPr="003505E2">
              <w:rPr>
                <w:rFonts w:ascii="宋体" w:eastAsia="宋体" w:hAnsi="宋体" w:hint="eastAsia"/>
                <w:szCs w:val="21"/>
              </w:rPr>
              <w:t>关于固定收益证券的基本知识</w:t>
            </w:r>
            <w:r>
              <w:rPr>
                <w:rFonts w:ascii="宋体" w:eastAsia="宋体" w:hAnsi="宋体" w:hint="eastAsia"/>
                <w:szCs w:val="21"/>
              </w:rPr>
              <w:t>的掌握情况</w:t>
            </w:r>
          </w:p>
        </w:tc>
      </w:tr>
      <w:tr w:rsidR="00A546A2" w:rsidRPr="001E1B1F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546A2" w:rsidRPr="00B75A41" w:rsidRDefault="003505E2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3505E2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:rsidR="00A546A2" w:rsidRPr="00B75A41" w:rsidRDefault="001E1B1F" w:rsidP="00B75A41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对国家有关固定收益证券市场的方针、政策和法律法规以及</w:t>
            </w:r>
            <w:r w:rsidRPr="001E1B1F">
              <w:rPr>
                <w:rFonts w:ascii="宋体" w:eastAsia="宋体" w:hAnsi="宋体" w:hint="eastAsia"/>
                <w:szCs w:val="21"/>
              </w:rPr>
              <w:t>国内外固定收益证券市场的发展动态</w:t>
            </w:r>
            <w:r>
              <w:rPr>
                <w:rFonts w:ascii="宋体" w:eastAsia="宋体" w:hAnsi="宋体" w:hint="eastAsia"/>
                <w:szCs w:val="21"/>
              </w:rPr>
              <w:t>的了解和熟悉程度</w:t>
            </w:r>
          </w:p>
        </w:tc>
      </w:tr>
      <w:tr w:rsidR="00A546A2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546A2" w:rsidRPr="00B75A41" w:rsidRDefault="003505E2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3505E2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 w:rsidR="00A546A2" w:rsidRPr="00B75A41" w:rsidRDefault="00741E9C" w:rsidP="00B75A41">
            <w:pPr>
              <w:adjustRightInd w:val="0"/>
              <w:spacing w:line="28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对固定收益证券有关的分析方法及工具的掌握情况</w:t>
            </w:r>
          </w:p>
        </w:tc>
      </w:tr>
    </w:tbl>
    <w:p w:rsidR="00580B0E" w:rsidRPr="00B118F1" w:rsidRDefault="00580B0E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50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9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1843E6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1843E6" w:rsidRPr="00726809" w:rsidRDefault="001843E6" w:rsidP="001843E6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lastRenderedPageBreak/>
              <w:t>课堂表现</w:t>
            </w:r>
          </w:p>
        </w:tc>
        <w:tc>
          <w:tcPr>
            <w:tcW w:w="793" w:type="dxa"/>
            <w:vAlign w:val="center"/>
          </w:tcPr>
          <w:p w:rsidR="001843E6" w:rsidRPr="00726809" w:rsidRDefault="001843E6" w:rsidP="001843E6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</w:t>
            </w:r>
            <w:r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1843E6" w:rsidRPr="00726809" w:rsidRDefault="001843E6" w:rsidP="001843E6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Ansi="宋体" w:hint="eastAsia"/>
                <w:color w:val="000000"/>
                <w:szCs w:val="21"/>
              </w:rPr>
              <w:t>考勤记录和课堂表现情况加分、扣分记录</w:t>
            </w:r>
          </w:p>
        </w:tc>
      </w:tr>
      <w:tr w:rsidR="001843E6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1843E6" w:rsidRPr="00726809" w:rsidRDefault="001843E6" w:rsidP="001843E6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:rsidR="001843E6" w:rsidRPr="00726809" w:rsidRDefault="001843E6" w:rsidP="001843E6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7</w:t>
            </w:r>
            <w:r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1843E6" w:rsidRPr="00726809" w:rsidRDefault="001843E6" w:rsidP="001843E6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笔试</w:t>
            </w:r>
            <w:r>
              <w:rPr>
                <w:rFonts w:ascii="宋体" w:hint="eastAsia"/>
                <w:color w:val="000000"/>
                <w:szCs w:val="21"/>
              </w:rPr>
              <w:t>，题型有选择题、判断题、简答题、计算题和论述题，考核内容涵盖了所学的基本知识点，不仅考核学生对基本知识点的掌握程度，而且也考察对相关知识和理论运用的能力。</w:t>
            </w:r>
          </w:p>
        </w:tc>
      </w:tr>
      <w:bookmarkEnd w:id="6"/>
    </w:tbl>
    <w:p w:rsidR="00EE1B4B" w:rsidRPr="005B6285" w:rsidRDefault="00EE1B4B" w:rsidP="00D2653D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CC" w:rsidRDefault="007353CC" w:rsidP="007E1E48">
      <w:r>
        <w:separator/>
      </w:r>
    </w:p>
  </w:endnote>
  <w:endnote w:type="continuationSeparator" w:id="0">
    <w:p w:rsidR="007353CC" w:rsidRDefault="007353CC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7"/>
      <w:docPartObj>
        <w:docPartGallery w:val="Page Numbers (Bottom of Page)"/>
        <w:docPartUnique/>
      </w:docPartObj>
    </w:sdtPr>
    <w:sdtEndPr/>
    <w:sdtContent>
      <w:p w:rsidR="00291B70" w:rsidRDefault="00E87965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 w:rsidR="00291B70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BE6F7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91B70" w:rsidRDefault="00291B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CC" w:rsidRDefault="007353CC" w:rsidP="007E1E48">
      <w:r>
        <w:separator/>
      </w:r>
    </w:p>
  </w:footnote>
  <w:footnote w:type="continuationSeparator" w:id="0">
    <w:p w:rsidR="007353CC" w:rsidRDefault="007353CC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abstractNum w:abstractNumId="3">
    <w:nsid w:val="3FB0734C"/>
    <w:multiLevelType w:val="hybridMultilevel"/>
    <w:tmpl w:val="F27E84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01AD9"/>
    <w:rsid w:val="0002623A"/>
    <w:rsid w:val="00052533"/>
    <w:rsid w:val="00054858"/>
    <w:rsid w:val="00054AC6"/>
    <w:rsid w:val="000776BB"/>
    <w:rsid w:val="000C5141"/>
    <w:rsid w:val="000D02D2"/>
    <w:rsid w:val="000D6848"/>
    <w:rsid w:val="000E2E2E"/>
    <w:rsid w:val="00113B48"/>
    <w:rsid w:val="00134FF7"/>
    <w:rsid w:val="001471B4"/>
    <w:rsid w:val="0015295D"/>
    <w:rsid w:val="00156674"/>
    <w:rsid w:val="00166174"/>
    <w:rsid w:val="00182CF9"/>
    <w:rsid w:val="001843E6"/>
    <w:rsid w:val="00190C68"/>
    <w:rsid w:val="0019649E"/>
    <w:rsid w:val="00196591"/>
    <w:rsid w:val="001A720E"/>
    <w:rsid w:val="001B425E"/>
    <w:rsid w:val="001B749A"/>
    <w:rsid w:val="001C46E2"/>
    <w:rsid w:val="001C6568"/>
    <w:rsid w:val="001D043B"/>
    <w:rsid w:val="001D69AC"/>
    <w:rsid w:val="001E1B1F"/>
    <w:rsid w:val="00200CA7"/>
    <w:rsid w:val="00206341"/>
    <w:rsid w:val="00216BF0"/>
    <w:rsid w:val="002452D0"/>
    <w:rsid w:val="0025194F"/>
    <w:rsid w:val="00287C7B"/>
    <w:rsid w:val="00291B70"/>
    <w:rsid w:val="002A717D"/>
    <w:rsid w:val="002B0E5E"/>
    <w:rsid w:val="002B4940"/>
    <w:rsid w:val="002C5822"/>
    <w:rsid w:val="002D233C"/>
    <w:rsid w:val="002D542F"/>
    <w:rsid w:val="002E0522"/>
    <w:rsid w:val="002F4D72"/>
    <w:rsid w:val="002F685A"/>
    <w:rsid w:val="003049D9"/>
    <w:rsid w:val="00312B8C"/>
    <w:rsid w:val="0031487B"/>
    <w:rsid w:val="003163C9"/>
    <w:rsid w:val="00322CCB"/>
    <w:rsid w:val="00323D55"/>
    <w:rsid w:val="0033025B"/>
    <w:rsid w:val="00331752"/>
    <w:rsid w:val="00334505"/>
    <w:rsid w:val="00334EA5"/>
    <w:rsid w:val="00345234"/>
    <w:rsid w:val="003505E2"/>
    <w:rsid w:val="003512F0"/>
    <w:rsid w:val="00351B8E"/>
    <w:rsid w:val="00365E8A"/>
    <w:rsid w:val="00366C9F"/>
    <w:rsid w:val="00371030"/>
    <w:rsid w:val="00371B6C"/>
    <w:rsid w:val="0037449B"/>
    <w:rsid w:val="00383C2C"/>
    <w:rsid w:val="0039236B"/>
    <w:rsid w:val="00395FEF"/>
    <w:rsid w:val="003B0605"/>
    <w:rsid w:val="003B5D54"/>
    <w:rsid w:val="003B7ED7"/>
    <w:rsid w:val="003C4383"/>
    <w:rsid w:val="003C4AF6"/>
    <w:rsid w:val="003D2B02"/>
    <w:rsid w:val="003D517C"/>
    <w:rsid w:val="003E0CAC"/>
    <w:rsid w:val="003E5B31"/>
    <w:rsid w:val="003E6C45"/>
    <w:rsid w:val="003E6EC8"/>
    <w:rsid w:val="003F67C5"/>
    <w:rsid w:val="004028AA"/>
    <w:rsid w:val="00426346"/>
    <w:rsid w:val="00433FCF"/>
    <w:rsid w:val="00455AED"/>
    <w:rsid w:val="00455E63"/>
    <w:rsid w:val="00471D9A"/>
    <w:rsid w:val="00495177"/>
    <w:rsid w:val="004B47A0"/>
    <w:rsid w:val="004B7B5C"/>
    <w:rsid w:val="004C23BB"/>
    <w:rsid w:val="004E31F6"/>
    <w:rsid w:val="0051085D"/>
    <w:rsid w:val="005219CE"/>
    <w:rsid w:val="00522980"/>
    <w:rsid w:val="00524163"/>
    <w:rsid w:val="00547A9A"/>
    <w:rsid w:val="00560B9E"/>
    <w:rsid w:val="0056250A"/>
    <w:rsid w:val="00580B0E"/>
    <w:rsid w:val="0058723A"/>
    <w:rsid w:val="005B0077"/>
    <w:rsid w:val="005B6285"/>
    <w:rsid w:val="005B62AE"/>
    <w:rsid w:val="005B635C"/>
    <w:rsid w:val="005C0683"/>
    <w:rsid w:val="005C31AB"/>
    <w:rsid w:val="005C79F8"/>
    <w:rsid w:val="005D5315"/>
    <w:rsid w:val="005D70EB"/>
    <w:rsid w:val="005E2D49"/>
    <w:rsid w:val="005F5AA2"/>
    <w:rsid w:val="00604525"/>
    <w:rsid w:val="00612E96"/>
    <w:rsid w:val="0062581F"/>
    <w:rsid w:val="006625D0"/>
    <w:rsid w:val="00670894"/>
    <w:rsid w:val="00670B07"/>
    <w:rsid w:val="006917A8"/>
    <w:rsid w:val="006A496B"/>
    <w:rsid w:val="006B0650"/>
    <w:rsid w:val="006C30F5"/>
    <w:rsid w:val="006E5529"/>
    <w:rsid w:val="00707982"/>
    <w:rsid w:val="007274CA"/>
    <w:rsid w:val="00735181"/>
    <w:rsid w:val="007353CC"/>
    <w:rsid w:val="00741E9C"/>
    <w:rsid w:val="00751139"/>
    <w:rsid w:val="007622DE"/>
    <w:rsid w:val="00792141"/>
    <w:rsid w:val="0079342B"/>
    <w:rsid w:val="007A1CF2"/>
    <w:rsid w:val="007A68D7"/>
    <w:rsid w:val="007B210B"/>
    <w:rsid w:val="007B60A0"/>
    <w:rsid w:val="007B6373"/>
    <w:rsid w:val="007D158B"/>
    <w:rsid w:val="007D4FB9"/>
    <w:rsid w:val="007E1E48"/>
    <w:rsid w:val="007F238B"/>
    <w:rsid w:val="00813B5D"/>
    <w:rsid w:val="00816B10"/>
    <w:rsid w:val="00817571"/>
    <w:rsid w:val="008208FB"/>
    <w:rsid w:val="00836077"/>
    <w:rsid w:val="008550DA"/>
    <w:rsid w:val="0085628C"/>
    <w:rsid w:val="00857496"/>
    <w:rsid w:val="00875318"/>
    <w:rsid w:val="00890594"/>
    <w:rsid w:val="00897515"/>
    <w:rsid w:val="008A1547"/>
    <w:rsid w:val="008B68A5"/>
    <w:rsid w:val="008C54FB"/>
    <w:rsid w:val="008E0C68"/>
    <w:rsid w:val="008E4BFB"/>
    <w:rsid w:val="008F1AF2"/>
    <w:rsid w:val="008F3A05"/>
    <w:rsid w:val="008F3AF5"/>
    <w:rsid w:val="0090431C"/>
    <w:rsid w:val="009108C5"/>
    <w:rsid w:val="00924C81"/>
    <w:rsid w:val="009521D5"/>
    <w:rsid w:val="00953241"/>
    <w:rsid w:val="00957CE0"/>
    <w:rsid w:val="00976520"/>
    <w:rsid w:val="00983B78"/>
    <w:rsid w:val="009904EF"/>
    <w:rsid w:val="00995FB6"/>
    <w:rsid w:val="009B559F"/>
    <w:rsid w:val="009C0BD0"/>
    <w:rsid w:val="009C2F7A"/>
    <w:rsid w:val="009C5864"/>
    <w:rsid w:val="009D246F"/>
    <w:rsid w:val="009D7FBF"/>
    <w:rsid w:val="009E0606"/>
    <w:rsid w:val="009E0C10"/>
    <w:rsid w:val="009E2314"/>
    <w:rsid w:val="009E2AB9"/>
    <w:rsid w:val="009E5D44"/>
    <w:rsid w:val="009E6A67"/>
    <w:rsid w:val="009F3BD6"/>
    <w:rsid w:val="00A0451E"/>
    <w:rsid w:val="00A07123"/>
    <w:rsid w:val="00A33642"/>
    <w:rsid w:val="00A35C1B"/>
    <w:rsid w:val="00A467F6"/>
    <w:rsid w:val="00A546A2"/>
    <w:rsid w:val="00A63A90"/>
    <w:rsid w:val="00A701B0"/>
    <w:rsid w:val="00A75603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32305"/>
    <w:rsid w:val="00B40D78"/>
    <w:rsid w:val="00B42D3E"/>
    <w:rsid w:val="00B475F8"/>
    <w:rsid w:val="00B62B6B"/>
    <w:rsid w:val="00B64980"/>
    <w:rsid w:val="00B75A41"/>
    <w:rsid w:val="00B97F1B"/>
    <w:rsid w:val="00BB0DE7"/>
    <w:rsid w:val="00BB1F95"/>
    <w:rsid w:val="00BC1D69"/>
    <w:rsid w:val="00BC723F"/>
    <w:rsid w:val="00BD396C"/>
    <w:rsid w:val="00BD5137"/>
    <w:rsid w:val="00BE6F72"/>
    <w:rsid w:val="00BE7E88"/>
    <w:rsid w:val="00BF02F7"/>
    <w:rsid w:val="00BF03AB"/>
    <w:rsid w:val="00BF24C3"/>
    <w:rsid w:val="00C22109"/>
    <w:rsid w:val="00C2216C"/>
    <w:rsid w:val="00C33035"/>
    <w:rsid w:val="00C43ECF"/>
    <w:rsid w:val="00C52152"/>
    <w:rsid w:val="00C67E6F"/>
    <w:rsid w:val="00C71C8F"/>
    <w:rsid w:val="00C72525"/>
    <w:rsid w:val="00C7483F"/>
    <w:rsid w:val="00CB35E6"/>
    <w:rsid w:val="00CB3F29"/>
    <w:rsid w:val="00CC173A"/>
    <w:rsid w:val="00CD649A"/>
    <w:rsid w:val="00CD6D95"/>
    <w:rsid w:val="00CE7FE0"/>
    <w:rsid w:val="00CF4C8A"/>
    <w:rsid w:val="00D07D36"/>
    <w:rsid w:val="00D10761"/>
    <w:rsid w:val="00D14E42"/>
    <w:rsid w:val="00D21823"/>
    <w:rsid w:val="00D23C7B"/>
    <w:rsid w:val="00D2653D"/>
    <w:rsid w:val="00D269E3"/>
    <w:rsid w:val="00D272D0"/>
    <w:rsid w:val="00D71417"/>
    <w:rsid w:val="00D72D32"/>
    <w:rsid w:val="00DA53B6"/>
    <w:rsid w:val="00DD1FED"/>
    <w:rsid w:val="00DF401D"/>
    <w:rsid w:val="00E0122A"/>
    <w:rsid w:val="00E01950"/>
    <w:rsid w:val="00E03032"/>
    <w:rsid w:val="00E07880"/>
    <w:rsid w:val="00E16E39"/>
    <w:rsid w:val="00E40F3F"/>
    <w:rsid w:val="00E44690"/>
    <w:rsid w:val="00E44828"/>
    <w:rsid w:val="00E515E8"/>
    <w:rsid w:val="00E61FC2"/>
    <w:rsid w:val="00E65070"/>
    <w:rsid w:val="00E776FF"/>
    <w:rsid w:val="00E87965"/>
    <w:rsid w:val="00E91461"/>
    <w:rsid w:val="00E92610"/>
    <w:rsid w:val="00E946BA"/>
    <w:rsid w:val="00EB7719"/>
    <w:rsid w:val="00EC0559"/>
    <w:rsid w:val="00EC18D4"/>
    <w:rsid w:val="00EE1B4B"/>
    <w:rsid w:val="00EE2904"/>
    <w:rsid w:val="00EF1E9D"/>
    <w:rsid w:val="00EF724C"/>
    <w:rsid w:val="00F01623"/>
    <w:rsid w:val="00F0196D"/>
    <w:rsid w:val="00F047A9"/>
    <w:rsid w:val="00F17D67"/>
    <w:rsid w:val="00F4061E"/>
    <w:rsid w:val="00F47DF4"/>
    <w:rsid w:val="00F74DD0"/>
    <w:rsid w:val="00F87E3D"/>
    <w:rsid w:val="00F93557"/>
    <w:rsid w:val="00FB1DE7"/>
    <w:rsid w:val="00FB6429"/>
    <w:rsid w:val="00FC3244"/>
    <w:rsid w:val="00FD453B"/>
    <w:rsid w:val="00FD509B"/>
    <w:rsid w:val="00FD79FC"/>
    <w:rsid w:val="00FE1451"/>
    <w:rsid w:val="00FE1E55"/>
    <w:rsid w:val="00FE391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E48"/>
    <w:rPr>
      <w:sz w:val="18"/>
      <w:szCs w:val="18"/>
    </w:rPr>
  </w:style>
  <w:style w:type="table" w:styleId="a5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E36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3638"/>
    <w:rPr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01456"/>
  </w:style>
  <w:style w:type="character" w:styleId="a7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F02F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F02F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F02F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F02F7"/>
    <w:rPr>
      <w:b/>
      <w:bCs/>
    </w:rPr>
  </w:style>
  <w:style w:type="paragraph" w:styleId="ab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Document Map"/>
    <w:basedOn w:val="a"/>
    <w:link w:val="Char4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001AD9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DE76-B482-46D0-B6CB-9A2EF671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6</Pages>
  <Words>578</Words>
  <Characters>3297</Characters>
  <Application>Microsoft Office Word</Application>
  <DocSecurity>0</DocSecurity>
  <Lines>27</Lines>
  <Paragraphs>7</Paragraphs>
  <ScaleCrop>false</ScaleCrop>
  <Company>China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apple</cp:lastModifiedBy>
  <cp:revision>172</cp:revision>
  <cp:lastPrinted>2019-03-21T12:39:00Z</cp:lastPrinted>
  <dcterms:created xsi:type="dcterms:W3CDTF">2019-03-01T07:04:00Z</dcterms:created>
  <dcterms:modified xsi:type="dcterms:W3CDTF">2019-12-16T04:28:00Z</dcterms:modified>
</cp:coreProperties>
</file>