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AA6BF6">
        <w:rPr>
          <w:rFonts w:ascii="黑体" w:eastAsia="黑体" w:hAnsi="黑体"/>
          <w:noProof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:rsidR="00080DE0" w:rsidRDefault="00080DE0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商业银行业务与经营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92254" w:rsidRDefault="00AA6BF6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:rsidR="00080DE0" w:rsidRPr="00323D55" w:rsidRDefault="00080DE0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080DE0" w:rsidRDefault="00080DE0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DB20D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陈颖</w:t>
                  </w:r>
                </w:p>
                <w:p w:rsidR="00080DE0" w:rsidRPr="00C4638F" w:rsidRDefault="00080DE0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:rsidR="00080DE0" w:rsidRPr="00323D55" w:rsidRDefault="00080DE0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080DE0" w:rsidRDefault="00080DE0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C51861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bookmarkStart w:id="2" w:name="_GoBack"/>
                  <w:bookmarkEnd w:id="2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</w:t>
                  </w:r>
                </w:p>
                <w:p w:rsidR="00080DE0" w:rsidRPr="00C4638F" w:rsidRDefault="00080DE0" w:rsidP="00A92254"/>
              </w:txbxContent>
            </v:textbox>
          </v:rect>
        </w:pic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9A793F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商业银行业务与经营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9A793F" w:rsidRDefault="009A793F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79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Bank </w:t>
            </w:r>
            <w:r w:rsidR="002544C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Operation </w:t>
            </w:r>
            <w:r w:rsidRPr="009A793F">
              <w:rPr>
                <w:rFonts w:ascii="Times New Roman" w:eastAsia="宋体" w:hAnsi="Times New Roman" w:cs="Times New Roman"/>
                <w:sz w:val="24"/>
                <w:szCs w:val="24"/>
              </w:rPr>
              <w:t>&amp; Financial Services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18805040300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乔红芳</w:t>
            </w: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2544C8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乔红芳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2544C8" w:rsidP="002544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会计学、微观经济学、宏观经济学、金融学、公司金融、国际金融学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18031E" w:rsidRDefault="0018031E" w:rsidP="001803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戴国强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商业银行经营学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2016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1. (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美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)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彼得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S.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罗斯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西尔维娅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C.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赫金斯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商业银行管理（第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9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版）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1C6A8F"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机械工业出版社，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2013</w:t>
            </w:r>
          </w:p>
          <w:p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2.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庄毓敏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商业银行业务与经营（第四版）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北京：中国人民大学出版社，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2014</w:t>
            </w:r>
          </w:p>
          <w:p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3. </w:t>
            </w:r>
            <w:hyperlink r:id="rId9" w:tgtFrame="_blank" w:history="1">
              <w:proofErr w:type="gramStart"/>
              <w:r w:rsidRPr="001C6A8F">
                <w:rPr>
                  <w:rFonts w:ascii="Times New Roman" w:eastAsia="宋体" w:hAnsi="宋体" w:cs="Times New Roman"/>
                  <w:sz w:val="24"/>
                  <w:szCs w:val="24"/>
                </w:rPr>
                <w:t>朱新蓉</w:t>
              </w:r>
              <w:proofErr w:type="gramEnd"/>
            </w:hyperlink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hyperlink r:id="rId10" w:tgtFrame="_blank" w:history="1">
              <w:r w:rsidRPr="001C6A8F">
                <w:rPr>
                  <w:rFonts w:ascii="Times New Roman" w:eastAsia="宋体" w:hAnsi="宋体" w:cs="Times New Roman"/>
                  <w:sz w:val="24"/>
                  <w:szCs w:val="24"/>
                </w:rPr>
                <w:t>宋清华</w:t>
              </w:r>
            </w:hyperlink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商业银行经营管理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北京：中国金融出版社，</w:t>
            </w:r>
            <w:r w:rsidR="001C6A8F">
              <w:rPr>
                <w:rFonts w:ascii="Times New Roman" w:eastAsia="宋体" w:hAnsi="宋体" w:cs="Times New Roman"/>
                <w:sz w:val="24"/>
                <w:szCs w:val="24"/>
              </w:rPr>
              <w:t>2009</w:t>
            </w:r>
          </w:p>
          <w:p w:rsidR="00792141" w:rsidRPr="008023F8" w:rsidRDefault="008023F8" w:rsidP="001C6A8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4.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刘忠燕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商业银行经营管理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(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第二版）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北京：中国金融出版社，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2014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A1657C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戴国强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商业银行经营学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2016</w:t>
            </w:r>
          </w:p>
        </w:tc>
      </w:tr>
    </w:tbl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220E2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了解商业银行产生发展的过程，理解商业银行的本质属性和发挥的职能，</w:t>
            </w:r>
            <w:r w:rsidRPr="00517BD5">
              <w:rPr>
                <w:rFonts w:hint="eastAsia"/>
                <w:bCs/>
                <w:szCs w:val="21"/>
              </w:rPr>
              <w:t>熟悉商业银行</w:t>
            </w:r>
            <w:r>
              <w:rPr>
                <w:rFonts w:hint="eastAsia"/>
                <w:bCs/>
                <w:szCs w:val="21"/>
              </w:rPr>
              <w:t>可以开展的各种</w:t>
            </w:r>
            <w:r w:rsidRPr="00517BD5">
              <w:rPr>
                <w:rFonts w:hint="eastAsia"/>
                <w:bCs/>
                <w:szCs w:val="21"/>
              </w:rPr>
              <w:t>业务</w:t>
            </w:r>
            <w:r>
              <w:rPr>
                <w:rFonts w:hint="eastAsia"/>
                <w:bCs/>
                <w:szCs w:val="21"/>
              </w:rPr>
              <w:t>，形成对商业银行经营过程的整体性认识。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220E2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理解商业银行业务经营的一般原则，</w:t>
            </w:r>
            <w:r w:rsidRPr="00517BD5">
              <w:rPr>
                <w:rFonts w:hint="eastAsia"/>
                <w:bCs/>
                <w:szCs w:val="21"/>
              </w:rPr>
              <w:t>掌握</w:t>
            </w:r>
            <w:r>
              <w:rPr>
                <w:rFonts w:hint="eastAsia"/>
                <w:bCs/>
                <w:szCs w:val="21"/>
              </w:rPr>
              <w:t>商业银行</w:t>
            </w:r>
            <w:r w:rsidRPr="00517BD5">
              <w:rPr>
                <w:rFonts w:hint="eastAsia"/>
                <w:bCs/>
                <w:szCs w:val="21"/>
              </w:rPr>
              <w:t>流动性头寸管理</w:t>
            </w:r>
            <w:r>
              <w:rPr>
                <w:rFonts w:hint="eastAsia"/>
                <w:bCs/>
                <w:szCs w:val="21"/>
              </w:rPr>
              <w:t>策略，</w:t>
            </w:r>
            <w:r w:rsidRPr="00517BD5">
              <w:rPr>
                <w:rFonts w:hint="eastAsia"/>
                <w:bCs/>
                <w:szCs w:val="21"/>
              </w:rPr>
              <w:t>掌握商业银行资金来源管理的各种方法和手段；熟悉</w:t>
            </w:r>
            <w:r>
              <w:rPr>
                <w:rFonts w:hint="eastAsia"/>
                <w:bCs/>
                <w:szCs w:val="21"/>
              </w:rPr>
              <w:t>商业银行</w:t>
            </w:r>
            <w:r w:rsidRPr="00517BD5">
              <w:rPr>
                <w:rFonts w:hint="eastAsia"/>
                <w:bCs/>
                <w:szCs w:val="21"/>
              </w:rPr>
              <w:t>贷款</w:t>
            </w:r>
            <w:r>
              <w:rPr>
                <w:rFonts w:hint="eastAsia"/>
                <w:bCs/>
                <w:szCs w:val="21"/>
              </w:rPr>
              <w:t>的</w:t>
            </w:r>
            <w:r w:rsidRPr="00517BD5">
              <w:rPr>
                <w:rFonts w:hint="eastAsia"/>
                <w:bCs/>
                <w:szCs w:val="21"/>
              </w:rPr>
              <w:t>整个程序、各类贷款定价方法以及如何为企业和消费者提供贷款服务</w:t>
            </w:r>
            <w:r>
              <w:rPr>
                <w:rFonts w:hint="eastAsia"/>
                <w:bCs/>
                <w:szCs w:val="21"/>
              </w:rPr>
              <w:t>，</w:t>
            </w:r>
            <w:r w:rsidRPr="00517BD5">
              <w:rPr>
                <w:rFonts w:hint="eastAsia"/>
                <w:bCs/>
                <w:szCs w:val="21"/>
              </w:rPr>
              <w:t>掌握资产负债管理技术</w:t>
            </w:r>
            <w:r>
              <w:rPr>
                <w:rFonts w:hint="eastAsia"/>
                <w:bCs/>
                <w:szCs w:val="21"/>
              </w:rPr>
              <w:t>以及其他</w:t>
            </w:r>
            <w:r w:rsidRPr="00517BD5">
              <w:rPr>
                <w:rFonts w:hint="eastAsia"/>
                <w:bCs/>
                <w:szCs w:val="21"/>
              </w:rPr>
              <w:t>风险规避途径和手段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8218F7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能够运用所学商业银行业务与经营的相关</w:t>
            </w:r>
            <w:r w:rsidR="007A486F">
              <w:rPr>
                <w:rFonts w:ascii="宋体" w:eastAsia="宋体" w:hAnsi="宋体" w:hint="eastAsia"/>
                <w:szCs w:val="21"/>
              </w:rPr>
              <w:t>理论</w:t>
            </w:r>
            <w:r>
              <w:rPr>
                <w:rFonts w:ascii="宋体" w:eastAsia="宋体" w:hAnsi="宋体" w:hint="eastAsia"/>
                <w:szCs w:val="21"/>
              </w:rPr>
              <w:t>知识，熟练掌握</w:t>
            </w:r>
            <w:r w:rsidR="007A486F">
              <w:rPr>
                <w:rFonts w:ascii="宋体" w:eastAsia="宋体" w:hAnsi="宋体" w:hint="eastAsia"/>
                <w:szCs w:val="21"/>
              </w:rPr>
              <w:t>银行各类</w:t>
            </w:r>
            <w:r>
              <w:rPr>
                <w:rFonts w:ascii="宋体" w:eastAsia="宋体" w:hAnsi="宋体" w:hint="eastAsia"/>
                <w:szCs w:val="21"/>
              </w:rPr>
              <w:t>业务的操作流程，具备在商业银行进行实践操作的能力</w:t>
            </w:r>
            <w:r w:rsidR="00CA4436">
              <w:rPr>
                <w:rFonts w:ascii="宋体" w:eastAsia="宋体" w:hAnsi="宋体" w:hint="eastAsia"/>
                <w:szCs w:val="21"/>
              </w:rPr>
              <w:t>,</w:t>
            </w:r>
            <w:r w:rsidR="00CA4436" w:rsidRPr="009E5D44">
              <w:rPr>
                <w:rFonts w:ascii="宋体" w:eastAsia="宋体" w:hAnsi="宋体"/>
                <w:szCs w:val="21"/>
              </w:rPr>
              <w:t xml:space="preserve"> </w:t>
            </w:r>
            <w:r w:rsidR="00CA4436">
              <w:rPr>
                <w:rFonts w:ascii="宋体" w:eastAsia="宋体" w:hAnsi="宋体" w:hint="eastAsia"/>
                <w:szCs w:val="21"/>
              </w:rPr>
              <w:t>具有良好的职业操守和道德。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CA4436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了解国内外商业银行业务与经营的发展动态，</w:t>
            </w:r>
            <w:r w:rsidR="008218F7">
              <w:rPr>
                <w:rFonts w:ascii="宋体" w:eastAsia="宋体" w:hAnsi="宋体" w:hint="eastAsia"/>
                <w:szCs w:val="21"/>
              </w:rPr>
              <w:t>熟悉国家有关商业银行监管方面的相关政策和法律法规，</w:t>
            </w:r>
            <w:r w:rsidR="00A25F59" w:rsidRPr="003916E3">
              <w:rPr>
                <w:rFonts w:ascii="Times New Roman"/>
              </w:rPr>
              <w:t>能够应用现代科技手段进行自主学习</w:t>
            </w:r>
            <w:r w:rsidR="00A25F59">
              <w:rPr>
                <w:rFonts w:ascii="Times New Roman" w:hint="eastAsia"/>
              </w:rPr>
              <w:t>，</w:t>
            </w:r>
            <w:r w:rsidR="00A25F59" w:rsidRPr="003916E3">
              <w:rPr>
                <w:rFonts w:ascii="Times New Roman"/>
              </w:rPr>
              <w:t>适应金融</w:t>
            </w:r>
            <w:r w:rsidR="00A25F59">
              <w:rPr>
                <w:rFonts w:ascii="Times New Roman" w:hint="eastAsia"/>
              </w:rPr>
              <w:t>科技发展实际</w:t>
            </w:r>
            <w:r w:rsidR="00A25F59" w:rsidRPr="003916E3">
              <w:rPr>
                <w:rFonts w:ascii="Times New Roman"/>
              </w:rPr>
              <w:t>，与时俱进</w:t>
            </w:r>
            <w:r w:rsidR="008218F7">
              <w:rPr>
                <w:rFonts w:ascii="Times New Roman" w:hint="eastAsia"/>
              </w:rPr>
              <w:t>。</w:t>
            </w:r>
          </w:p>
        </w:tc>
      </w:tr>
      <w:tr w:rsidR="00CA4436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436" w:rsidRPr="009E5D44" w:rsidRDefault="00CA4436" w:rsidP="00CA4436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A4436" w:rsidRDefault="00CA4436" w:rsidP="00A25F59">
            <w:pPr>
              <w:jc w:val="left"/>
              <w:rPr>
                <w:rFonts w:ascii="宋体" w:eastAsia="宋体" w:hAnsi="宋体"/>
                <w:szCs w:val="21"/>
              </w:rPr>
            </w:pPr>
            <w:r w:rsidRPr="003916E3">
              <w:rPr>
                <w:rFonts w:ascii="Times New Roman"/>
              </w:rPr>
              <w:t>能够对各种国内外的金融信息加以甄别、整理和加工，</w:t>
            </w:r>
            <w:r>
              <w:rPr>
                <w:rFonts w:ascii="宋体" w:eastAsia="宋体" w:hAnsi="宋体" w:hint="eastAsia"/>
                <w:szCs w:val="21"/>
              </w:rPr>
              <w:t>具备创新意识</w:t>
            </w:r>
            <w:r w:rsidR="00A25F59">
              <w:rPr>
                <w:rFonts w:ascii="宋体" w:eastAsia="宋体" w:hAnsi="宋体" w:hint="eastAsia"/>
                <w:szCs w:val="21"/>
              </w:rPr>
              <w:t>和创业能力</w:t>
            </w:r>
            <w:r>
              <w:rPr>
                <w:rFonts w:ascii="Times New Roman" w:hint="eastAsia"/>
              </w:rPr>
              <w:t>，</w:t>
            </w:r>
            <w:r w:rsidR="00A25F59">
              <w:rPr>
                <w:rFonts w:ascii="Times New Roman"/>
              </w:rPr>
              <w:t>从而</w:t>
            </w:r>
            <w:r w:rsidRPr="003916E3">
              <w:rPr>
                <w:rFonts w:ascii="Times New Roman"/>
              </w:rPr>
              <w:t>创造性地解决</w:t>
            </w:r>
            <w:r>
              <w:rPr>
                <w:rFonts w:ascii="Times New Roman" w:hint="eastAsia"/>
              </w:rPr>
              <w:t>商业银行经营中的</w:t>
            </w:r>
            <w:r w:rsidRPr="003916E3">
              <w:rPr>
                <w:rFonts w:ascii="Times New Roman"/>
              </w:rPr>
              <w:t>实际问题</w:t>
            </w:r>
            <w:r w:rsidR="00A25F59">
              <w:rPr>
                <w:rFonts w:ascii="Times New Roman" w:hint="eastAsia"/>
              </w:rPr>
              <w:t>。</w:t>
            </w:r>
          </w:p>
        </w:tc>
      </w:tr>
    </w:tbl>
    <w:p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BF02F7" w:rsidRPr="00B75A41" w:rsidRDefault="00DC7046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B75A41" w:rsidRPr="00B75A41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75A41" w:rsidRPr="00B75A41" w:rsidRDefault="00455E6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243EBA">
              <w:rPr>
                <w:rFonts w:ascii="宋体" w:eastAsia="宋体" w:hAnsi="宋体" w:hint="eastAsia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243EBA"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B75A41" w:rsidRPr="00243EBA" w:rsidRDefault="00243EBA" w:rsidP="00243EB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5E1972" w:rsidRPr="00B75A41" w:rsidRDefault="005E1972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:rsidR="005E1972" w:rsidRPr="005E1972" w:rsidRDefault="005E1972" w:rsidP="005E1972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93671">
              <w:rPr>
                <w:rFonts w:ascii="宋体" w:eastAsia="宋体" w:hAnsi="宋体"/>
                <w:szCs w:val="21"/>
              </w:rPr>
              <w:t>2.1 思想道德素质</w:t>
            </w:r>
            <w:r w:rsidRPr="00193671">
              <w:rPr>
                <w:rFonts w:ascii="宋体" w:eastAsia="宋体" w:hAnsi="宋体" w:hint="eastAsia"/>
                <w:szCs w:val="21"/>
              </w:rPr>
              <w:t>。</w:t>
            </w:r>
            <w:r w:rsidRPr="00193671"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93671" w:rsidRPr="005E1972" w:rsidRDefault="00193671" w:rsidP="00CE49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193671" w:rsidRPr="00193671" w:rsidRDefault="00193671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  <w:p w:rsidR="00193671" w:rsidRPr="00B75A41" w:rsidRDefault="00193671" w:rsidP="0019367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93671" w:rsidRPr="00193671" w:rsidRDefault="00193671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E178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08" w:type="dxa"/>
            <w:vAlign w:val="center"/>
          </w:tcPr>
          <w:p w:rsidR="00193671" w:rsidRPr="00B75A41" w:rsidRDefault="00E178ED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193671" w:rsidRPr="00E178ED" w:rsidRDefault="00E178ED" w:rsidP="00E178E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E178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E178ED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93671" w:rsidRPr="00E178ED" w:rsidRDefault="00E178ED" w:rsidP="00E178E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E178ED">
              <w:rPr>
                <w:rFonts w:cstheme="minorBidi"/>
                <w:sz w:val="21"/>
                <w:szCs w:val="21"/>
              </w:rPr>
              <w:t>3.3 创新创业能力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E178ED">
              <w:rPr>
                <w:rFonts w:cstheme="minorBidi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9904EF" w:rsidRPr="00B118F1" w:rsidRDefault="009904EF" w:rsidP="00DB20D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816C43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:rsidR="009904EF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导论</w:t>
            </w:r>
          </w:p>
        </w:tc>
        <w:tc>
          <w:tcPr>
            <w:tcW w:w="3118" w:type="dxa"/>
            <w:vAlign w:val="center"/>
          </w:tcPr>
          <w:p w:rsidR="0050422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了解商业银行的起源和发展</w:t>
            </w:r>
            <w:r w:rsidR="0050422A"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掌握商业银行的性质和职能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理解商业银行的组织结构和经营目标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了解商业银行制度和经营环境。</w:t>
            </w:r>
          </w:p>
        </w:tc>
        <w:tc>
          <w:tcPr>
            <w:tcW w:w="2552" w:type="dxa"/>
            <w:vAlign w:val="center"/>
          </w:tcPr>
          <w:p w:rsidR="0050422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商业银行的性质和职能</w:t>
            </w:r>
            <w:r w:rsidRPr="0050422A">
              <w:rPr>
                <w:rFonts w:ascii="宋体" w:eastAsia="宋体" w:hAnsi="宋体" w:hint="eastAsia"/>
                <w:szCs w:val="21"/>
              </w:rPr>
              <w:t>；.</w:t>
            </w:r>
            <w:r w:rsidRPr="0050422A">
              <w:rPr>
                <w:rFonts w:ascii="宋体" w:eastAsia="宋体" w:hAnsi="宋体"/>
                <w:szCs w:val="21"/>
              </w:rPr>
              <w:t>商业银行的组织结构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商业银行的经营目标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商业银行制度。</w:t>
            </w:r>
          </w:p>
          <w:p w:rsidR="009904EF" w:rsidRPr="0050422A" w:rsidRDefault="009904E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50422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商业银行的职能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商业银行的组织结构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商业银行的经营目标。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816C43" w:rsidRPr="0050422A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:rsidR="009904EF" w:rsidRPr="0050422A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商业银行资本</w:t>
            </w:r>
          </w:p>
        </w:tc>
        <w:tc>
          <w:tcPr>
            <w:tcW w:w="3118" w:type="dxa"/>
            <w:vAlign w:val="center"/>
          </w:tcPr>
          <w:p w:rsidR="00816C43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熟悉商业银行资本的</w:t>
            </w:r>
            <w:r w:rsidRPr="0050422A">
              <w:rPr>
                <w:rFonts w:ascii="宋体" w:eastAsia="宋体" w:hAnsi="宋体" w:hint="eastAsia"/>
                <w:szCs w:val="21"/>
              </w:rPr>
              <w:t>具体</w:t>
            </w:r>
            <w:r w:rsidRPr="0050422A">
              <w:rPr>
                <w:rFonts w:ascii="宋体" w:eastAsia="宋体" w:hAnsi="宋体"/>
                <w:szCs w:val="21"/>
              </w:rPr>
              <w:t>内容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816C43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掌握资本充足率的计算方法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816C43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理解银行资本管理两种策略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了解银行并购的相关内容。</w:t>
            </w:r>
          </w:p>
        </w:tc>
        <w:tc>
          <w:tcPr>
            <w:tcW w:w="2552" w:type="dxa"/>
            <w:vAlign w:val="center"/>
          </w:tcPr>
          <w:p w:rsidR="00816C43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商业银行资本的内涵和构成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816C43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银行资本充足性的测度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  <w:r w:rsidRPr="0050422A">
              <w:rPr>
                <w:rFonts w:ascii="宋体" w:eastAsia="宋体" w:hAnsi="宋体"/>
                <w:szCs w:val="21"/>
              </w:rPr>
              <w:t>分子策略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分母策略</w:t>
            </w:r>
            <w:r w:rsidR="0050422A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816C43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核心资本和附属资本的差异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816C43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资本充足率的计算</w:t>
            </w:r>
            <w:r w:rsidRP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50422A" w:rsidRDefault="00816C43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银行资本管理的策略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负债业务的</w:t>
            </w:r>
          </w:p>
          <w:p w:rsidR="00B4006A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经营管理</w:t>
            </w:r>
          </w:p>
        </w:tc>
        <w:tc>
          <w:tcPr>
            <w:tcW w:w="3118" w:type="dxa"/>
            <w:vAlign w:val="center"/>
          </w:tcPr>
          <w:p w:rsid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要求学生熟悉银行负债的构成内容</w:t>
            </w:r>
            <w:r w:rsid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掌握银行的存款业务及创新型存款工具的特点及其经营管理策略</w:t>
            </w:r>
            <w:r w:rsid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掌握银行短期借款和长期借款的渠道及其经营管理重点。</w:t>
            </w:r>
          </w:p>
        </w:tc>
        <w:tc>
          <w:tcPr>
            <w:tcW w:w="2552" w:type="dxa"/>
            <w:vAlign w:val="center"/>
          </w:tcPr>
          <w:p w:rsid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银行负债的构成内容</w:t>
            </w:r>
            <w:r w:rsid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银行的传统存款业务及创新型存款工具的特点</w:t>
            </w:r>
            <w:r w:rsid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银行存款经营管理策略</w:t>
            </w:r>
            <w:r w:rsid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50422A" w:rsidRDefault="00AA58B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银行短期借款和长期借款</w:t>
            </w:r>
            <w:r w:rsidR="00424777" w:rsidRPr="0050422A">
              <w:rPr>
                <w:rFonts w:ascii="宋体" w:eastAsia="宋体" w:hAnsi="宋体"/>
                <w:szCs w:val="21"/>
              </w:rPr>
              <w:t>渠道</w:t>
            </w:r>
            <w:r w:rsidR="0050422A">
              <w:rPr>
                <w:rFonts w:ascii="宋体" w:eastAsia="宋体" w:hAnsi="宋体" w:hint="eastAsia"/>
                <w:szCs w:val="21"/>
              </w:rPr>
              <w:t>及其</w:t>
            </w:r>
            <w:r w:rsidR="00424777" w:rsidRPr="0050422A">
              <w:rPr>
                <w:rFonts w:ascii="宋体" w:eastAsia="宋体" w:hAnsi="宋体"/>
                <w:szCs w:val="21"/>
              </w:rPr>
              <w:t>经营管理重点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银行的存款经营管理策略</w:t>
            </w:r>
            <w:r w:rsidR="0050422A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50422A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银行短长期借款经营管理重点</w:t>
            </w:r>
            <w:r w:rsidR="0050422A">
              <w:rPr>
                <w:rFonts w:ascii="宋体" w:eastAsia="宋体" w:hAnsi="宋体" w:hint="eastAsia"/>
                <w:szCs w:val="21"/>
              </w:rPr>
              <w:t>。</w:t>
            </w:r>
          </w:p>
          <w:p w:rsidR="00B4006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B4006A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现金资产业务</w:t>
            </w:r>
          </w:p>
        </w:tc>
        <w:tc>
          <w:tcPr>
            <w:tcW w:w="3118" w:type="dxa"/>
            <w:vAlign w:val="center"/>
          </w:tcPr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要求学生熟悉银行现金资产的具体内容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学会现金头寸的计算方法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50422A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掌握现金资产的管理策略。</w:t>
            </w:r>
          </w:p>
        </w:tc>
        <w:tc>
          <w:tcPr>
            <w:tcW w:w="2552" w:type="dxa"/>
            <w:vAlign w:val="center"/>
          </w:tcPr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现金资产的构成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现金头寸的计算方法</w:t>
            </w:r>
          </w:p>
          <w:p w:rsidR="00B4006A" w:rsidRPr="0050422A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现金资产的管理策略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现金头寸的计算方法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50422A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现金资产的管理策略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B4006A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贷款业务</w:t>
            </w:r>
          </w:p>
        </w:tc>
        <w:tc>
          <w:tcPr>
            <w:tcW w:w="3118" w:type="dxa"/>
            <w:vAlign w:val="center"/>
          </w:tcPr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要求学生熟悉贷款的种类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了解贷款政策的全部内容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掌握重要贷款业务的管理要点，学会贷款定价的方法以及如何进行信用风险管理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50422A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了解银行的贷款管理制度。</w:t>
            </w:r>
          </w:p>
        </w:tc>
        <w:tc>
          <w:tcPr>
            <w:tcW w:w="2552" w:type="dxa"/>
            <w:vAlign w:val="center"/>
          </w:tcPr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贷款的种类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贷款政策的内容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贷款定价的方法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贷款业务的管理要点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50422A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信用风险管理</w:t>
            </w:r>
          </w:p>
        </w:tc>
        <w:tc>
          <w:tcPr>
            <w:tcW w:w="2185" w:type="dxa"/>
            <w:vAlign w:val="center"/>
          </w:tcPr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贷款定价的方法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AA58B9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贷款业务管理要点</w:t>
            </w:r>
            <w:r w:rsidR="00AA58B9"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Pr="0050422A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信用风险管理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:rsidR="00424777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银行证券投资</w:t>
            </w:r>
            <w:r w:rsidRPr="0050422A">
              <w:rPr>
                <w:rFonts w:ascii="宋体" w:eastAsia="宋体" w:hAnsi="宋体"/>
                <w:szCs w:val="21"/>
              </w:rPr>
              <w:lastRenderedPageBreak/>
              <w:t>业务</w:t>
            </w:r>
          </w:p>
        </w:tc>
        <w:tc>
          <w:tcPr>
            <w:tcW w:w="3118" w:type="dxa"/>
            <w:vAlign w:val="center"/>
          </w:tcPr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lastRenderedPageBreak/>
              <w:t>理解证券投资的功能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学会证券投资风险和收益的测</w:t>
            </w:r>
            <w:r w:rsidRPr="0050422A">
              <w:rPr>
                <w:rFonts w:ascii="宋体" w:eastAsia="宋体" w:hAnsi="宋体"/>
                <w:szCs w:val="21"/>
              </w:rPr>
              <w:lastRenderedPageBreak/>
              <w:t>量方法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掌握证券投资的方式策略。</w:t>
            </w:r>
          </w:p>
        </w:tc>
        <w:tc>
          <w:tcPr>
            <w:tcW w:w="2552" w:type="dxa"/>
            <w:vAlign w:val="center"/>
          </w:tcPr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lastRenderedPageBreak/>
              <w:t>证券投资风险和收益的测量方法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lastRenderedPageBreak/>
              <w:t>证券投资的方式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证券投资的策略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lastRenderedPageBreak/>
              <w:t>证券投资风险和收益的测量方法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lastRenderedPageBreak/>
              <w:t>证券投资的策略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424777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租赁</w:t>
            </w:r>
          </w:p>
        </w:tc>
        <w:tc>
          <w:tcPr>
            <w:tcW w:w="3118" w:type="dxa"/>
            <w:vAlign w:val="center"/>
          </w:tcPr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理解租赁的概念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熟悉租赁的种类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了解租赁合同的具体内容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FB212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="00424777" w:rsidRPr="0050422A">
              <w:rPr>
                <w:rFonts w:ascii="宋体" w:eastAsia="宋体" w:hAnsi="宋体"/>
                <w:szCs w:val="21"/>
              </w:rPr>
              <w:t>租金计算的方法</w:t>
            </w:r>
            <w:r>
              <w:rPr>
                <w:rFonts w:ascii="宋体" w:eastAsia="宋体" w:hAnsi="宋体" w:hint="eastAsia"/>
                <w:szCs w:val="21"/>
              </w:rPr>
              <w:t>和</w:t>
            </w:r>
            <w:r w:rsidR="00424777" w:rsidRPr="0050422A">
              <w:rPr>
                <w:rFonts w:ascii="宋体" w:eastAsia="宋体" w:hAnsi="宋体"/>
                <w:szCs w:val="21"/>
              </w:rPr>
              <w:t>影响因素。</w:t>
            </w:r>
          </w:p>
        </w:tc>
        <w:tc>
          <w:tcPr>
            <w:tcW w:w="2552" w:type="dxa"/>
            <w:vAlign w:val="center"/>
          </w:tcPr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租赁的概念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经营租赁和融资租赁的区别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租赁合同的内容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租金计算方法和影响因素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经营租赁和融资租赁的区别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租金的计算方法和影响因素</w:t>
            </w:r>
            <w:r w:rsidR="00FB2123"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</w:t>
            </w:r>
            <w:r w:rsidRPr="0050422A">
              <w:rPr>
                <w:rFonts w:ascii="宋体" w:eastAsia="宋体" w:hAnsi="宋体"/>
                <w:szCs w:val="21"/>
              </w:rPr>
              <w:t xml:space="preserve">8章  </w:t>
            </w:r>
          </w:p>
          <w:p w:rsidR="00424777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表外业务</w:t>
            </w:r>
          </w:p>
        </w:tc>
        <w:tc>
          <w:tcPr>
            <w:tcW w:w="3118" w:type="dxa"/>
            <w:vAlign w:val="center"/>
          </w:tcPr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熟悉银行表外业务的类型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FB2123" w:rsidP="00FB2123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424777" w:rsidRPr="0050422A">
              <w:rPr>
                <w:rFonts w:ascii="宋体" w:eastAsia="宋体" w:hAnsi="宋体"/>
                <w:szCs w:val="21"/>
              </w:rPr>
              <w:t>担保、票据发行便利、远期利率协议、金融衍生产品交易等表外业务的含义。</w:t>
            </w:r>
            <w:r w:rsidR="00424777" w:rsidRPr="0050422A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  <w:p w:rsidR="00424777" w:rsidRP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表外业务的含义和作用；担保、票据发行便利、远期利率协议、金融衍生产品交易等表外业务的含义和特点</w:t>
            </w:r>
            <w:r w:rsidR="00FB2123"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  <w:p w:rsidR="00424777" w:rsidRP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担保、票据发行便利、远期利率协议、金融衍生产品交易业务的含义和特点</w:t>
            </w:r>
          </w:p>
          <w:p w:rsidR="00424777" w:rsidRPr="00FB2123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424777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其他业务</w:t>
            </w:r>
          </w:p>
        </w:tc>
        <w:tc>
          <w:tcPr>
            <w:tcW w:w="3118" w:type="dxa"/>
            <w:vAlign w:val="center"/>
          </w:tcPr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熟悉常见的支付结算方式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熟悉代理业务的种类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了解咨询顾问业务的类别</w:t>
            </w:r>
          </w:p>
        </w:tc>
        <w:tc>
          <w:tcPr>
            <w:tcW w:w="2552" w:type="dxa"/>
            <w:vAlign w:val="center"/>
          </w:tcPr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支付结算方式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代理业务的种类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咨询顾问业务的类别</w:t>
            </w:r>
          </w:p>
        </w:tc>
        <w:tc>
          <w:tcPr>
            <w:tcW w:w="2185" w:type="dxa"/>
            <w:vAlign w:val="center"/>
          </w:tcPr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支付结算方式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424777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国际业务</w:t>
            </w:r>
          </w:p>
        </w:tc>
        <w:tc>
          <w:tcPr>
            <w:tcW w:w="3118" w:type="dxa"/>
            <w:vAlign w:val="center"/>
          </w:tcPr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了解国际业务的组织机构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FB2123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掌握国际贸易金融、外汇买卖和国际信贷三类国际业务</w:t>
            </w:r>
            <w:r w:rsidR="00FB2123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了解离岸金融业务的含义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Pr="0050422A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国际贸易金融、外汇买卖、国际信贷</w:t>
            </w:r>
            <w:r w:rsidR="0080283E">
              <w:rPr>
                <w:rFonts w:ascii="宋体" w:eastAsia="宋体" w:hAnsi="宋体" w:hint="eastAsia"/>
                <w:szCs w:val="21"/>
              </w:rPr>
              <w:t>的含义</w:t>
            </w:r>
          </w:p>
        </w:tc>
        <w:tc>
          <w:tcPr>
            <w:tcW w:w="2185" w:type="dxa"/>
            <w:vAlign w:val="center"/>
          </w:tcPr>
          <w:p w:rsidR="00424777" w:rsidRPr="0050422A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国际贸易金融、外汇买卖、国际信贷</w:t>
            </w:r>
            <w:r w:rsidR="0080283E">
              <w:rPr>
                <w:rFonts w:ascii="宋体" w:eastAsia="宋体" w:hAnsi="宋体" w:hint="eastAsia"/>
                <w:szCs w:val="21"/>
              </w:rPr>
              <w:t>的含义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第11章 </w:t>
            </w:r>
          </w:p>
          <w:p w:rsidR="00424777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商业银行资产负债管理策略</w:t>
            </w:r>
          </w:p>
        </w:tc>
        <w:tc>
          <w:tcPr>
            <w:tcW w:w="3118" w:type="dxa"/>
            <w:vAlign w:val="center"/>
          </w:tcPr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理解银行资产负债管理策略的演变历程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掌握利率敏感性性缺口</w:t>
            </w:r>
            <w:proofErr w:type="gramStart"/>
            <w:r w:rsidRPr="0050422A">
              <w:rPr>
                <w:rFonts w:ascii="宋体" w:eastAsia="宋体" w:hAnsi="宋体"/>
                <w:szCs w:val="21"/>
              </w:rPr>
              <w:t>和久期缺口</w:t>
            </w:r>
            <w:proofErr w:type="gramEnd"/>
            <w:r w:rsidRPr="0050422A">
              <w:rPr>
                <w:rFonts w:ascii="宋体" w:eastAsia="宋体" w:hAnsi="宋体"/>
                <w:szCs w:val="21"/>
              </w:rPr>
              <w:t>理论的含义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学会如何使用这些缺口方法进行资产负债管理。</w:t>
            </w:r>
          </w:p>
        </w:tc>
        <w:tc>
          <w:tcPr>
            <w:tcW w:w="2552" w:type="dxa"/>
            <w:vAlign w:val="center"/>
          </w:tcPr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资产负债管理策略的演变历程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利率敏感性性缺口的含义及其应用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50422A">
              <w:rPr>
                <w:rFonts w:ascii="宋体" w:eastAsia="宋体" w:hAnsi="宋体"/>
                <w:szCs w:val="21"/>
              </w:rPr>
              <w:t>久期缺口</w:t>
            </w:r>
            <w:proofErr w:type="gramEnd"/>
            <w:r w:rsidRPr="0050422A">
              <w:rPr>
                <w:rFonts w:ascii="宋体" w:eastAsia="宋体" w:hAnsi="宋体"/>
                <w:szCs w:val="21"/>
              </w:rPr>
              <w:t>理论及其应用</w:t>
            </w:r>
            <w:r w:rsidR="0080283E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利率敏感性性缺口的含义及其应用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50422A">
              <w:rPr>
                <w:rFonts w:ascii="宋体" w:eastAsia="宋体" w:hAnsi="宋体"/>
                <w:szCs w:val="21"/>
              </w:rPr>
              <w:t>久期缺口</w:t>
            </w:r>
            <w:proofErr w:type="gramEnd"/>
            <w:r w:rsidRPr="0050422A">
              <w:rPr>
                <w:rFonts w:ascii="宋体" w:eastAsia="宋体" w:hAnsi="宋体"/>
                <w:szCs w:val="21"/>
              </w:rPr>
              <w:t>理论及其应用</w:t>
            </w:r>
            <w:r w:rsidR="0080283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第12章  </w:t>
            </w:r>
          </w:p>
          <w:p w:rsidR="00424777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商业银行绩效评估</w:t>
            </w:r>
          </w:p>
        </w:tc>
        <w:tc>
          <w:tcPr>
            <w:tcW w:w="3118" w:type="dxa"/>
            <w:vAlign w:val="center"/>
          </w:tcPr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熟悉银行财务报表的构成和具体内容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掌握银行绩效评价的方法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了解银行绩效评价中的风险因素修正。</w:t>
            </w:r>
          </w:p>
        </w:tc>
        <w:tc>
          <w:tcPr>
            <w:tcW w:w="2552" w:type="dxa"/>
            <w:vAlign w:val="center"/>
          </w:tcPr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银行财务报表的内容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银行绩效评价体系和方法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银行绩效评价中的风险因素修正</w:t>
            </w:r>
            <w:r w:rsidR="0080283E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银行财务报表的比率分析法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杜邦财务分析法</w:t>
            </w:r>
            <w:r w:rsidR="0080283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71" w:type="dxa"/>
            <w:vAlign w:val="center"/>
          </w:tcPr>
          <w:p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 xml:space="preserve">第13章  </w:t>
            </w:r>
          </w:p>
          <w:p w:rsidR="00424777" w:rsidRP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商业银行经营风险与内部控制</w:t>
            </w:r>
          </w:p>
        </w:tc>
        <w:tc>
          <w:tcPr>
            <w:tcW w:w="3118" w:type="dxa"/>
            <w:vAlign w:val="center"/>
          </w:tcPr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理解银行风险的成因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熟悉银行风险的类别和特点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了解风险预测的方法以及内部控制的方法。</w:t>
            </w:r>
          </w:p>
        </w:tc>
        <w:tc>
          <w:tcPr>
            <w:tcW w:w="2552" w:type="dxa"/>
            <w:vAlign w:val="center"/>
          </w:tcPr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银行风险的成因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银行风险的类别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风险预测的方法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内部控制的方法。</w:t>
            </w:r>
          </w:p>
        </w:tc>
        <w:tc>
          <w:tcPr>
            <w:tcW w:w="2185" w:type="dxa"/>
            <w:vAlign w:val="center"/>
          </w:tcPr>
          <w:p w:rsidR="0080283E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银行风险的</w:t>
            </w:r>
            <w:r w:rsidR="0080283E">
              <w:rPr>
                <w:rFonts w:ascii="宋体" w:eastAsia="宋体" w:hAnsi="宋体" w:hint="eastAsia"/>
                <w:szCs w:val="21"/>
              </w:rPr>
              <w:t>类别和</w:t>
            </w:r>
            <w:r w:rsidRPr="0050422A">
              <w:rPr>
                <w:rFonts w:ascii="宋体" w:eastAsia="宋体" w:hAnsi="宋体"/>
                <w:szCs w:val="21"/>
              </w:rPr>
              <w:t>特点</w:t>
            </w:r>
            <w:r w:rsidR="0080283E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风险预测的方法</w:t>
            </w:r>
            <w:r w:rsidR="0080283E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:rsidR="0062581F" w:rsidRPr="00B118F1" w:rsidRDefault="0062581F" w:rsidP="00DB20D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32101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32101" w:rsidRPr="00B75A41" w:rsidRDefault="0033210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332101" w:rsidRPr="0050422A" w:rsidRDefault="0033210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:rsidR="00332101" w:rsidRDefault="0033210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导论</w:t>
            </w:r>
          </w:p>
          <w:p w:rsidR="000844C9" w:rsidRPr="00B75A41" w:rsidRDefault="000844C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332101" w:rsidP="003A0050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D65197">
              <w:rPr>
                <w:rFonts w:ascii="Times New Roman"/>
              </w:rPr>
              <w:t>商业银行的起源与发展</w:t>
            </w:r>
          </w:p>
          <w:p w:rsidR="00332101" w:rsidRPr="00D65197" w:rsidRDefault="003A0050" w:rsidP="003A0050">
            <w:pPr>
              <w:spacing w:line="300" w:lineRule="exact"/>
              <w:rPr>
                <w:rFonts w:ascii="Times New Roman" w:hAnsi="Times New Roman"/>
              </w:rPr>
            </w:pPr>
            <w:r w:rsidRPr="00D6519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D65197">
              <w:rPr>
                <w:rFonts w:ascii="Times New Roman"/>
              </w:rPr>
              <w:t>商业银行的功能及其地位</w:t>
            </w:r>
          </w:p>
        </w:tc>
        <w:tc>
          <w:tcPr>
            <w:tcW w:w="1701" w:type="dxa"/>
            <w:vAlign w:val="center"/>
          </w:tcPr>
          <w:p w:rsidR="00332101" w:rsidRPr="00B75A41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32101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32101" w:rsidRPr="00B75A41" w:rsidRDefault="00660D36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50422A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3A0050" w:rsidP="003A0050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D65197">
              <w:rPr>
                <w:rFonts w:ascii="Times New Roman"/>
              </w:rPr>
              <w:t>商业银行的组织结构</w:t>
            </w:r>
          </w:p>
          <w:p w:rsidR="003A0050" w:rsidRPr="00D65197" w:rsidRDefault="003A0050" w:rsidP="003A0050">
            <w:pPr>
              <w:spacing w:line="300" w:lineRule="exact"/>
              <w:rPr>
                <w:rFonts w:ascii="Times New Roman" w:hAnsi="Times New Roman"/>
              </w:rPr>
            </w:pPr>
            <w:r w:rsidRPr="00D65197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D65197">
              <w:rPr>
                <w:rFonts w:ascii="Times New Roman"/>
              </w:rPr>
              <w:t>商业银行制度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75A41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50422A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3A0050" w:rsidP="003A0050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D65197">
              <w:rPr>
                <w:rFonts w:ascii="Times New Roman"/>
              </w:rPr>
              <w:t>商业银行的经营目标</w:t>
            </w:r>
          </w:p>
          <w:p w:rsidR="003A0050" w:rsidRPr="00D65197" w:rsidRDefault="003A0050" w:rsidP="003A0050">
            <w:pPr>
              <w:spacing w:line="300" w:lineRule="exact"/>
              <w:rPr>
                <w:rFonts w:ascii="Times New Roman" w:hAnsi="Times New Roman"/>
              </w:rPr>
            </w:pPr>
            <w:r w:rsidRPr="00D65197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D65197">
              <w:rPr>
                <w:rFonts w:ascii="Times New Roman"/>
              </w:rPr>
              <w:t>商业银行的经营环境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B5C8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0B5C81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3A0050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第2章  </w:t>
            </w:r>
          </w:p>
          <w:p w:rsidR="003A0050" w:rsidRPr="003A0050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商业银行资本</w:t>
            </w:r>
          </w:p>
          <w:p w:rsidR="003A0050" w:rsidRPr="003A0050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>学时）</w:t>
            </w:r>
          </w:p>
          <w:p w:rsidR="003A0050" w:rsidRPr="000844C9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Pr="006B7F2B" w:rsidRDefault="003A0050" w:rsidP="003A0050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F2B">
              <w:rPr>
                <w:rFonts w:ascii="Times New Roman" w:hAnsi="Times New Roman"/>
              </w:rPr>
              <w:t>银行资本金的构成</w:t>
            </w:r>
            <w:r w:rsidRPr="006B7F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Pr="006B7F2B" w:rsidRDefault="003A0050" w:rsidP="003A0050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 w:rsidRPr="006B7F2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F2B">
              <w:rPr>
                <w:rFonts w:ascii="Times New Roman" w:hAnsi="Times New Roman"/>
              </w:rPr>
              <w:t>银行资本充足性及其测定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3A0050" w:rsidP="003A0050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F2B">
              <w:rPr>
                <w:rFonts w:ascii="Times New Roman" w:hAnsi="Times New Roman"/>
              </w:rPr>
              <w:t>银行的资本管理与对策</w:t>
            </w:r>
            <w:r w:rsidRPr="006B7F2B">
              <w:rPr>
                <w:rFonts w:ascii="Times New Roman" w:hAnsi="Times New Roman"/>
              </w:rPr>
              <w:t xml:space="preserve"> </w:t>
            </w:r>
          </w:p>
          <w:p w:rsidR="003A0050" w:rsidRPr="006B7F2B" w:rsidRDefault="003A0050" w:rsidP="003A0050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B7F2B">
              <w:rPr>
                <w:rFonts w:ascii="Times New Roman" w:hAnsi="Times New Roman"/>
              </w:rPr>
              <w:t>银行并购决策与管理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:rsidR="000B5C81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3A0050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第3章  </w:t>
            </w:r>
          </w:p>
          <w:p w:rsidR="003A0050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负债业务</w:t>
            </w:r>
          </w:p>
          <w:p w:rsidR="003A0050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的经营管理</w:t>
            </w:r>
          </w:p>
          <w:p w:rsidR="003A0050" w:rsidRPr="000844C9" w:rsidRDefault="003A0050" w:rsidP="002F1A3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3A0050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1450F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450F4">
              <w:rPr>
                <w:rFonts w:ascii="Times New Roman" w:hAnsi="Times New Roman"/>
              </w:rPr>
              <w:t>银行负债的作用和构成</w:t>
            </w:r>
            <w:r w:rsidRPr="001450F4">
              <w:rPr>
                <w:rFonts w:ascii="Times New Roman" w:hAnsi="Times New Roman"/>
              </w:rPr>
              <w:t xml:space="preserve"> </w:t>
            </w:r>
          </w:p>
          <w:p w:rsidR="00A009D8" w:rsidRDefault="00A009D8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1450F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450F4">
              <w:rPr>
                <w:rFonts w:ascii="Times New Roman" w:hAnsi="Times New Roman"/>
              </w:rPr>
              <w:t>商业银行的存款业务</w:t>
            </w:r>
          </w:p>
          <w:p w:rsidR="00A009D8" w:rsidRPr="001450F4" w:rsidRDefault="00A009D8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1450F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450F4">
              <w:rPr>
                <w:rFonts w:ascii="Times New Roman" w:hAnsi="Times New Roman"/>
              </w:rPr>
              <w:t>银行存款的经营管理</w:t>
            </w:r>
          </w:p>
        </w:tc>
        <w:tc>
          <w:tcPr>
            <w:tcW w:w="1701" w:type="dxa"/>
            <w:vAlign w:val="center"/>
          </w:tcPr>
          <w:p w:rsidR="003A0050" w:rsidRPr="00B75A41" w:rsidRDefault="00A009D8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A009D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3A0050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A005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Pr="001450F4" w:rsidRDefault="00A009D8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 w:rsidRPr="00A009D8">
              <w:rPr>
                <w:rFonts w:ascii="Times New Roman" w:hAnsi="Times New Roman"/>
              </w:rPr>
              <w:t>商业银行个人</w:t>
            </w:r>
            <w:r>
              <w:rPr>
                <w:rFonts w:ascii="Times New Roman" w:hAnsi="Times New Roman" w:hint="eastAsia"/>
              </w:rPr>
              <w:t>储蓄</w:t>
            </w:r>
            <w:r w:rsidRPr="00A009D8">
              <w:rPr>
                <w:rFonts w:ascii="Times New Roman" w:hAnsi="Times New Roman"/>
              </w:rPr>
              <w:t>业务的</w:t>
            </w:r>
            <w:r w:rsidRPr="00A009D8">
              <w:rPr>
                <w:rFonts w:ascii="Times New Roman" w:hAnsi="Times New Roman" w:hint="eastAsia"/>
              </w:rPr>
              <w:t>实践</w:t>
            </w:r>
            <w:r w:rsidRPr="00A009D8">
              <w:rPr>
                <w:rFonts w:ascii="Times New Roman" w:hAnsi="Times New Roman"/>
              </w:rPr>
              <w:t>操作</w:t>
            </w:r>
          </w:p>
        </w:tc>
        <w:tc>
          <w:tcPr>
            <w:tcW w:w="1701" w:type="dxa"/>
            <w:vAlign w:val="center"/>
          </w:tcPr>
          <w:p w:rsidR="003A0050" w:rsidRPr="00B75A41" w:rsidRDefault="00A009D8" w:rsidP="00A009D8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3A0050" w:rsidRPr="00B75A41" w:rsidRDefault="00A009D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3学时</w:t>
            </w:r>
          </w:p>
        </w:tc>
        <w:tc>
          <w:tcPr>
            <w:tcW w:w="1240" w:type="dxa"/>
            <w:vAlign w:val="center"/>
          </w:tcPr>
          <w:p w:rsidR="003A0050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009D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009D8" w:rsidRPr="00B75A41" w:rsidRDefault="00A009D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009D8" w:rsidRPr="00B75A41" w:rsidRDefault="00A009D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009D8" w:rsidRPr="001450F4" w:rsidRDefault="00A009D8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商业银行对公储蓄业务的实践操作</w:t>
            </w:r>
          </w:p>
        </w:tc>
        <w:tc>
          <w:tcPr>
            <w:tcW w:w="1701" w:type="dxa"/>
            <w:vAlign w:val="center"/>
          </w:tcPr>
          <w:p w:rsidR="00A009D8" w:rsidRPr="00B75A41" w:rsidRDefault="00A009D8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009D8" w:rsidRPr="00B75A41" w:rsidRDefault="00A009D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A009D8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009D8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009D8" w:rsidRPr="00B75A41" w:rsidRDefault="00A009D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009D8" w:rsidRPr="00B75A41" w:rsidRDefault="00A009D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009D8" w:rsidRDefault="00A009D8" w:rsidP="00080DE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 w:rsidRPr="001450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450F4">
              <w:rPr>
                <w:rFonts w:ascii="Times New Roman" w:hAnsi="Times New Roman"/>
              </w:rPr>
              <w:t>短期借款的经营管理</w:t>
            </w:r>
            <w:r w:rsidRPr="001450F4">
              <w:rPr>
                <w:rFonts w:ascii="Times New Roman" w:hAnsi="Times New Roman"/>
              </w:rPr>
              <w:t xml:space="preserve"> </w:t>
            </w:r>
          </w:p>
          <w:p w:rsidR="00A009D8" w:rsidRPr="001450F4" w:rsidRDefault="00A009D8" w:rsidP="00080DE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  <w:r w:rsidRPr="001450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1450F4">
              <w:rPr>
                <w:rFonts w:ascii="Times New Roman" w:hAnsi="Times New Roman"/>
              </w:rPr>
              <w:t>商业银行的长期借款</w:t>
            </w:r>
          </w:p>
        </w:tc>
        <w:tc>
          <w:tcPr>
            <w:tcW w:w="1701" w:type="dxa"/>
            <w:vAlign w:val="center"/>
          </w:tcPr>
          <w:p w:rsidR="00A009D8" w:rsidRPr="00B75A41" w:rsidRDefault="00A009D8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009D8" w:rsidRPr="00B75A41" w:rsidRDefault="00A009D8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009D8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0B5C81" w:rsidRPr="00B75A41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F1A39" w:rsidRPr="00B75A41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2F1A39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2F1A39" w:rsidRPr="003A0050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现金资产业务（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>学时）</w:t>
            </w:r>
          </w:p>
          <w:p w:rsidR="002F1A39" w:rsidRPr="000844C9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594005" w:rsidRDefault="002F1A39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94005">
              <w:rPr>
                <w:rFonts w:ascii="Times New Roman" w:hAnsi="Times New Roman"/>
              </w:rPr>
              <w:t>现金资产的构成和作用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B75A41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B75A41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594005" w:rsidRDefault="002F1A39" w:rsidP="003A0050">
            <w:pPr>
              <w:spacing w:line="300" w:lineRule="exac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94005">
              <w:rPr>
                <w:rFonts w:ascii="Times New Roman" w:hAnsi="Times New Roman"/>
              </w:rPr>
              <w:t>资金头寸的计算与预测</w:t>
            </w:r>
            <w:r w:rsidRPr="005940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0B5C81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B75A41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B75A41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594005" w:rsidRDefault="002F1A39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94005">
              <w:rPr>
                <w:rFonts w:ascii="Times New Roman" w:hAnsi="Times New Roman"/>
              </w:rPr>
              <w:t>现金资产的管理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F1A39" w:rsidRPr="00B75A41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2F1A39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2F1A39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贷款业务</w:t>
            </w:r>
          </w:p>
          <w:p w:rsidR="002F1A39" w:rsidRPr="00B75A41" w:rsidRDefault="002F1A39" w:rsidP="003322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4954C1" w:rsidRDefault="002F1A39" w:rsidP="003A0050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4954C1">
              <w:rPr>
                <w:rFonts w:ascii="Times New Roman" w:hAnsi="Times New Roman"/>
              </w:rPr>
              <w:t>贷款种类和政策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2F1A39">
            <w:pPr>
              <w:spacing w:line="300" w:lineRule="exact"/>
              <w:ind w:firstLineChars="250" w:firstLine="525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2F1A39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B75A41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B75A41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4954C1" w:rsidRDefault="002F1A39" w:rsidP="003A0050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4954C1">
              <w:rPr>
                <w:rFonts w:ascii="Times New Roman" w:hAnsi="Times New Roman"/>
              </w:rPr>
              <w:t>贷款定价</w:t>
            </w:r>
            <w:r w:rsidRPr="004954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2F1A39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0B5C81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B75A41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B75A41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4954C1" w:rsidRDefault="002F1A39" w:rsidP="003A0050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4954C1">
              <w:rPr>
                <w:rFonts w:ascii="Times New Roman" w:hAnsi="Times New Roman"/>
              </w:rPr>
              <w:t>几种贷款业务的要点</w:t>
            </w:r>
          </w:p>
        </w:tc>
        <w:tc>
          <w:tcPr>
            <w:tcW w:w="1701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F1A39" w:rsidRPr="00B75A41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883FCF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83FCF" w:rsidRPr="00B75A41" w:rsidRDefault="00883FC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83FCF" w:rsidRPr="00B75A41" w:rsidRDefault="00883FC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883FCF" w:rsidRDefault="00883FCF" w:rsidP="003A0050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4954C1">
              <w:rPr>
                <w:rFonts w:ascii="Times New Roman" w:hAnsi="Times New Roman"/>
              </w:rPr>
              <w:t>贷款信用风险管理</w:t>
            </w:r>
          </w:p>
          <w:p w:rsidR="00883FCF" w:rsidRPr="004954C1" w:rsidRDefault="00883FCF" w:rsidP="003A0050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4954C1">
              <w:rPr>
                <w:rFonts w:ascii="Times New Roman" w:hAnsi="Times New Roman"/>
              </w:rPr>
              <w:t>贷款管理制度</w:t>
            </w:r>
          </w:p>
        </w:tc>
        <w:tc>
          <w:tcPr>
            <w:tcW w:w="1701" w:type="dxa"/>
            <w:vAlign w:val="center"/>
          </w:tcPr>
          <w:p w:rsidR="00883FCF" w:rsidRPr="00B75A41" w:rsidRDefault="00883FCF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883FCF" w:rsidRPr="00B75A41" w:rsidRDefault="00883FC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883FCF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883FCF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83FCF" w:rsidRPr="00B75A41" w:rsidRDefault="00883FC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83FCF" w:rsidRPr="00B75A41" w:rsidRDefault="00883FC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883FCF" w:rsidRPr="004954C1" w:rsidRDefault="00883FCF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商业银行各类信贷业务实践操作</w:t>
            </w:r>
          </w:p>
        </w:tc>
        <w:tc>
          <w:tcPr>
            <w:tcW w:w="1701" w:type="dxa"/>
            <w:vAlign w:val="center"/>
          </w:tcPr>
          <w:p w:rsidR="00883FCF" w:rsidRPr="00B75A41" w:rsidRDefault="00883FCF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883FCF" w:rsidRPr="00B75A41" w:rsidRDefault="00883FC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4学时</w:t>
            </w:r>
          </w:p>
        </w:tc>
        <w:tc>
          <w:tcPr>
            <w:tcW w:w="1240" w:type="dxa"/>
            <w:vAlign w:val="center"/>
          </w:tcPr>
          <w:p w:rsidR="00883FCF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56C0D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56C0D" w:rsidRPr="00B75A41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356C0D" w:rsidRDefault="00356C0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356C0D" w:rsidRDefault="00356C0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银行证券投资业务</w:t>
            </w:r>
          </w:p>
          <w:p w:rsidR="00356C0D" w:rsidRPr="00CD5844" w:rsidRDefault="00356C0D" w:rsidP="00356C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56C0D" w:rsidRDefault="00356C0D" w:rsidP="003A0050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B730A0">
              <w:rPr>
                <w:rFonts w:ascii="Times New Roman" w:hAnsi="Times New Roman"/>
              </w:rPr>
              <w:t>银行证券投资的功能和类别</w:t>
            </w:r>
            <w:r w:rsidRPr="00B730A0">
              <w:rPr>
                <w:rFonts w:ascii="Times New Roman" w:hAnsi="Times New Roman"/>
              </w:rPr>
              <w:t xml:space="preserve"> </w:t>
            </w:r>
          </w:p>
          <w:p w:rsidR="00356C0D" w:rsidRPr="00B730A0" w:rsidRDefault="00356C0D" w:rsidP="003A0050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B730A0">
              <w:rPr>
                <w:rFonts w:ascii="Times New Roman" w:hAnsi="Times New Roman"/>
              </w:rPr>
              <w:t>银行证券投资的风险和收益</w:t>
            </w:r>
          </w:p>
        </w:tc>
        <w:tc>
          <w:tcPr>
            <w:tcW w:w="1701" w:type="dxa"/>
            <w:vAlign w:val="center"/>
          </w:tcPr>
          <w:p w:rsidR="00356C0D" w:rsidRPr="00B75A41" w:rsidRDefault="00356C0D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56C0D" w:rsidRPr="00B75A41" w:rsidRDefault="00356C0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356C0D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56C0D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56C0D" w:rsidRPr="00B75A41" w:rsidRDefault="00356C0D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56C0D" w:rsidRPr="00B75A41" w:rsidRDefault="00356C0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56C0D" w:rsidRDefault="00356C0D" w:rsidP="00356C0D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B730A0">
              <w:rPr>
                <w:rFonts w:ascii="Times New Roman" w:hAnsi="Times New Roman"/>
              </w:rPr>
              <w:t>银行证券投资业务</w:t>
            </w:r>
          </w:p>
          <w:p w:rsidR="00356C0D" w:rsidRPr="00B730A0" w:rsidRDefault="00356C0D" w:rsidP="00356C0D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B730A0">
              <w:rPr>
                <w:rFonts w:ascii="Times New Roman" w:hAnsi="Times New Roman"/>
              </w:rPr>
              <w:t>银行证券投资策略</w:t>
            </w:r>
          </w:p>
        </w:tc>
        <w:tc>
          <w:tcPr>
            <w:tcW w:w="1701" w:type="dxa"/>
            <w:vAlign w:val="center"/>
          </w:tcPr>
          <w:p w:rsidR="00356C0D" w:rsidRPr="00B75A41" w:rsidRDefault="00356C0D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56C0D" w:rsidRPr="00B75A41" w:rsidRDefault="00356C0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56C0D" w:rsidRPr="00B75A41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56C0D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356C0D" w:rsidRPr="00B75A41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356C0D" w:rsidRDefault="00356C0D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356C0D" w:rsidRPr="00B75A41" w:rsidRDefault="00356C0D" w:rsidP="00356C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租赁</w:t>
            </w:r>
          </w:p>
        </w:tc>
        <w:tc>
          <w:tcPr>
            <w:tcW w:w="3629" w:type="dxa"/>
            <w:vAlign w:val="center"/>
          </w:tcPr>
          <w:p w:rsidR="00356C0D" w:rsidRDefault="00356C0D" w:rsidP="003A0050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312571">
              <w:rPr>
                <w:rFonts w:ascii="Times New Roman" w:hAnsi="Times New Roman"/>
              </w:rPr>
              <w:t>租赁的基本概念</w:t>
            </w:r>
            <w:r w:rsidRPr="00312571">
              <w:rPr>
                <w:rFonts w:ascii="Times New Roman" w:hAnsi="Times New Roman"/>
              </w:rPr>
              <w:t xml:space="preserve"> </w:t>
            </w:r>
          </w:p>
          <w:p w:rsidR="00356C0D" w:rsidRDefault="00356C0D" w:rsidP="003A0050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312571">
              <w:rPr>
                <w:rFonts w:ascii="Times New Roman" w:hAnsi="Times New Roman"/>
              </w:rPr>
              <w:t>银行租赁业务的种类</w:t>
            </w:r>
          </w:p>
          <w:p w:rsidR="00356C0D" w:rsidRPr="00312571" w:rsidRDefault="00356C0D" w:rsidP="003A0050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312571">
              <w:rPr>
                <w:rFonts w:ascii="Times New Roman" w:hAnsi="Times New Roman"/>
              </w:rPr>
              <w:t>租赁合同与租金</w:t>
            </w:r>
          </w:p>
        </w:tc>
        <w:tc>
          <w:tcPr>
            <w:tcW w:w="1701" w:type="dxa"/>
            <w:vAlign w:val="center"/>
          </w:tcPr>
          <w:p w:rsidR="00356C0D" w:rsidRPr="00B75A41" w:rsidRDefault="00356C0D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56C0D" w:rsidRPr="00B75A41" w:rsidRDefault="00356C0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356C0D" w:rsidRPr="00B75A41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715BF0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715BF0" w:rsidRPr="00B75A41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715BF0" w:rsidRDefault="00715BF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715BF0" w:rsidRDefault="00715BF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表外业务</w:t>
            </w:r>
          </w:p>
          <w:p w:rsidR="00715BF0" w:rsidRPr="003A0050" w:rsidRDefault="00715BF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2+1</w:t>
            </w:r>
            <w:r w:rsidRPr="003A0050">
              <w:rPr>
                <w:rFonts w:ascii="宋体" w:eastAsia="宋体" w:hAnsi="宋体"/>
                <w:szCs w:val="21"/>
              </w:rPr>
              <w:t>学时）</w:t>
            </w:r>
          </w:p>
          <w:p w:rsidR="00715BF0" w:rsidRPr="00B75A41" w:rsidRDefault="00715BF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715BF0" w:rsidRPr="00965FB8" w:rsidRDefault="00715BF0" w:rsidP="003A0050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 w:hAnsi="Times New Roman"/>
              </w:rPr>
              <w:t>银行表外业务</w:t>
            </w:r>
            <w:r>
              <w:rPr>
                <w:rFonts w:ascii="Times New Roman" w:hAnsi="Times New Roman" w:hint="eastAsia"/>
              </w:rPr>
              <w:t>的含义和功能</w:t>
            </w:r>
          </w:p>
          <w:p w:rsidR="00715BF0" w:rsidRPr="00B75A41" w:rsidRDefault="00715BF0" w:rsidP="00715BF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表外业务的具体内容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15BF0" w:rsidRPr="00B75A41" w:rsidRDefault="00715BF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715BF0" w:rsidRPr="00B75A41" w:rsidRDefault="00715BF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715BF0" w:rsidRPr="00B75A41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715BF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715BF0" w:rsidRPr="00B75A41" w:rsidRDefault="00715BF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15BF0" w:rsidRPr="003A0050" w:rsidRDefault="00715BF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715BF0" w:rsidRPr="00965FB8" w:rsidRDefault="00715BF0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商业银行各类担保业务的实践操作</w:t>
            </w:r>
          </w:p>
        </w:tc>
        <w:tc>
          <w:tcPr>
            <w:tcW w:w="1701" w:type="dxa"/>
            <w:vAlign w:val="center"/>
          </w:tcPr>
          <w:p w:rsidR="00715BF0" w:rsidRPr="00B75A41" w:rsidRDefault="00715BF0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715BF0" w:rsidRPr="00B75A41" w:rsidRDefault="00715BF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A74A6C" w:rsidRPr="00B75A41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41551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41551" w:rsidRPr="00B75A41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A41551" w:rsidRDefault="00A4155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A41551" w:rsidRPr="00B75A41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其他业务</w:t>
            </w:r>
          </w:p>
        </w:tc>
        <w:tc>
          <w:tcPr>
            <w:tcW w:w="3629" w:type="dxa"/>
            <w:vAlign w:val="center"/>
          </w:tcPr>
          <w:p w:rsidR="00A41551" w:rsidRPr="00965FB8" w:rsidRDefault="00A41551" w:rsidP="003A0050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 w:hAnsi="Times New Roman"/>
              </w:rPr>
              <w:t>结算业务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  <w:p w:rsidR="00A41551" w:rsidRPr="00965FB8" w:rsidRDefault="00A41551" w:rsidP="003A0050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 w:hAnsi="Times New Roman"/>
              </w:rPr>
              <w:t>代理业务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  <w:p w:rsidR="00A41551" w:rsidRPr="00CD5844" w:rsidRDefault="00A41551" w:rsidP="00715BF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65FB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 w:hAnsi="Times New Roman"/>
              </w:rPr>
              <w:t>咨询顾问业务</w:t>
            </w:r>
          </w:p>
        </w:tc>
        <w:tc>
          <w:tcPr>
            <w:tcW w:w="1701" w:type="dxa"/>
            <w:vAlign w:val="center"/>
          </w:tcPr>
          <w:p w:rsidR="00A41551" w:rsidRPr="00B75A41" w:rsidRDefault="00A41551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41551" w:rsidRPr="00B75A41" w:rsidRDefault="00A41551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41551" w:rsidRPr="00B75A41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A41551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41551" w:rsidRPr="00B75A41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41551" w:rsidRPr="003A0050" w:rsidRDefault="00A4155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41551" w:rsidRPr="00965FB8" w:rsidRDefault="00A41551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商业银行票据业务综合实训</w:t>
            </w:r>
          </w:p>
        </w:tc>
        <w:tc>
          <w:tcPr>
            <w:tcW w:w="1701" w:type="dxa"/>
            <w:vAlign w:val="center"/>
          </w:tcPr>
          <w:p w:rsidR="00A41551" w:rsidRPr="00B75A41" w:rsidRDefault="00A41551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41551" w:rsidRPr="00B75A41" w:rsidRDefault="00A41551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4学时</w:t>
            </w:r>
          </w:p>
        </w:tc>
        <w:tc>
          <w:tcPr>
            <w:tcW w:w="1240" w:type="dxa"/>
            <w:vAlign w:val="center"/>
          </w:tcPr>
          <w:p w:rsidR="00A41551" w:rsidRPr="00B75A41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A74A6C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A74A6C" w:rsidRPr="00B75A41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Align w:val="center"/>
          </w:tcPr>
          <w:p w:rsidR="00A74A6C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A74A6C" w:rsidRPr="00B75A41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国际业务</w:t>
            </w:r>
          </w:p>
        </w:tc>
        <w:tc>
          <w:tcPr>
            <w:tcW w:w="3629" w:type="dxa"/>
            <w:vAlign w:val="center"/>
          </w:tcPr>
          <w:p w:rsidR="00A74A6C" w:rsidRPr="00965FB8" w:rsidRDefault="00A74A6C" w:rsidP="00A41551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 w:hAnsi="Times New Roman"/>
              </w:rPr>
              <w:t>国际业务的经营目标与组织机构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  <w:p w:rsidR="00A74A6C" w:rsidRDefault="00A74A6C" w:rsidP="00A41551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 w:hAnsi="Times New Roman"/>
              </w:rPr>
              <w:t>国际贸易金融</w:t>
            </w:r>
            <w:r>
              <w:rPr>
                <w:rFonts w:ascii="Times New Roman" w:hAnsi="Times New Roman" w:hint="eastAsia"/>
              </w:rPr>
              <w:t>、</w:t>
            </w:r>
            <w:r w:rsidRPr="00965FB8">
              <w:rPr>
                <w:rFonts w:ascii="Times New Roman" w:hAnsi="Times New Roman"/>
              </w:rPr>
              <w:t>外汇买卖</w:t>
            </w:r>
            <w:r>
              <w:rPr>
                <w:rFonts w:ascii="Times New Roman" w:hAnsi="Times New Roman" w:hint="eastAsia"/>
              </w:rPr>
              <w:t>和国际信贷三类业务</w:t>
            </w:r>
          </w:p>
          <w:p w:rsidR="00A74A6C" w:rsidRPr="00CD5844" w:rsidRDefault="00A74A6C" w:rsidP="00A4155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 w:rsidRPr="00965FB8">
              <w:rPr>
                <w:rFonts w:ascii="Times New Roman" w:hAnsi="Times New Roman"/>
              </w:rPr>
              <w:t>离岸金融业务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74A6C" w:rsidRPr="00B75A41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A74A6C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74A6C" w:rsidRPr="00B75A41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A74A6C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第11章 </w:t>
            </w:r>
          </w:p>
          <w:p w:rsidR="00A74A6C" w:rsidRPr="00CD5844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商业银行资产负债管理策略</w:t>
            </w:r>
          </w:p>
        </w:tc>
        <w:tc>
          <w:tcPr>
            <w:tcW w:w="3629" w:type="dxa"/>
            <w:vAlign w:val="center"/>
          </w:tcPr>
          <w:p w:rsidR="00A74A6C" w:rsidRPr="00F6671B" w:rsidRDefault="00A74A6C" w:rsidP="003A0050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 w:rsidRPr="00F6671B">
              <w:rPr>
                <w:rFonts w:ascii="Times New Roman" w:hAnsi="Times New Roman"/>
              </w:rPr>
              <w:t>1</w:t>
            </w:r>
            <w:r w:rsidRPr="00F667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F6671B">
              <w:rPr>
                <w:rFonts w:ascii="Times New Roman" w:hAnsi="Times New Roman"/>
              </w:rPr>
              <w:t>资产负债管理理论和策略</w:t>
            </w:r>
            <w:r w:rsidRPr="00F667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Pr="00B75A41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A74A6C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74A6C" w:rsidRPr="00B75A41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74A6C" w:rsidRPr="00B75A41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74A6C" w:rsidRPr="00F6671B" w:rsidRDefault="00A74A6C" w:rsidP="003A0050">
            <w:pPr>
              <w:spacing w:line="300" w:lineRule="exact"/>
              <w:rPr>
                <w:rFonts w:ascii="Times New Roman" w:hAnsi="Times New Roman"/>
                <w:b/>
                <w:color w:val="333333"/>
                <w:szCs w:val="21"/>
                <w:shd w:val="clear" w:color="auto" w:fill="FFFCF7"/>
              </w:rPr>
            </w:pPr>
            <w:r w:rsidRPr="00F6671B">
              <w:rPr>
                <w:rFonts w:ascii="Times New Roman" w:hAnsi="Times New Roman"/>
              </w:rPr>
              <w:t>2</w:t>
            </w:r>
            <w:r w:rsidRPr="00F667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F6671B">
              <w:rPr>
                <w:rFonts w:ascii="Times New Roman" w:hAnsi="Times New Roman"/>
              </w:rPr>
              <w:t>融资缺口模型及运用</w:t>
            </w:r>
          </w:p>
        </w:tc>
        <w:tc>
          <w:tcPr>
            <w:tcW w:w="1701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A74A6C" w:rsidRPr="00B75A41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A74A6C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74A6C" w:rsidRPr="00B75A41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74A6C" w:rsidRPr="00B75A41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74A6C" w:rsidRPr="00F6671B" w:rsidRDefault="00A74A6C" w:rsidP="003A0050">
            <w:pPr>
              <w:spacing w:line="300" w:lineRule="exact"/>
              <w:rPr>
                <w:rFonts w:ascii="Times New Roman" w:hAnsi="Times New Roman"/>
              </w:rPr>
            </w:pPr>
            <w:r w:rsidRPr="00F6671B">
              <w:rPr>
                <w:rFonts w:ascii="Times New Roman" w:hAnsi="Times New Roman"/>
              </w:rPr>
              <w:t>3</w:t>
            </w:r>
            <w:r w:rsidRPr="00F667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F6671B">
              <w:rPr>
                <w:rFonts w:ascii="Times New Roman"/>
              </w:rPr>
              <w:t>持续期缺口模型及运用</w:t>
            </w:r>
          </w:p>
        </w:tc>
        <w:tc>
          <w:tcPr>
            <w:tcW w:w="1701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A74A6C" w:rsidRPr="00B75A41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A74A6C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A74A6C" w:rsidRPr="00B75A41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Align w:val="center"/>
          </w:tcPr>
          <w:p w:rsidR="00A74A6C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第12章  </w:t>
            </w:r>
          </w:p>
          <w:p w:rsidR="00A74A6C" w:rsidRPr="00CD5844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商业银行绩效评估</w:t>
            </w:r>
          </w:p>
        </w:tc>
        <w:tc>
          <w:tcPr>
            <w:tcW w:w="3629" w:type="dxa"/>
            <w:vAlign w:val="center"/>
          </w:tcPr>
          <w:p w:rsidR="00A74A6C" w:rsidRPr="00965FB8" w:rsidRDefault="00A74A6C" w:rsidP="003A0050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 w:hAnsi="Times New Roman"/>
              </w:rPr>
              <w:t>银行财务报表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  <w:p w:rsidR="00A74A6C" w:rsidRPr="00965FB8" w:rsidRDefault="00A74A6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 w:hAnsi="Times New Roman"/>
              </w:rPr>
              <w:t>商业银行绩效评价</w:t>
            </w:r>
          </w:p>
          <w:p w:rsidR="00A74A6C" w:rsidRPr="00CD5844" w:rsidRDefault="00A74A6C" w:rsidP="003A0050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 w:hAnsi="Times New Roman"/>
              </w:rPr>
              <w:t>绩效评价中的风险因素修正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A74A6C" w:rsidRPr="00B75A41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A74A6C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74A6C" w:rsidRPr="00B75A41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A74A6C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第13章  </w:t>
            </w:r>
          </w:p>
          <w:p w:rsidR="00A74A6C" w:rsidRPr="00CD5844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商业银行经营风险与内部控制</w:t>
            </w:r>
          </w:p>
        </w:tc>
        <w:tc>
          <w:tcPr>
            <w:tcW w:w="3629" w:type="dxa"/>
            <w:vAlign w:val="center"/>
          </w:tcPr>
          <w:p w:rsidR="00A74A6C" w:rsidRPr="00965FB8" w:rsidRDefault="00A74A6C" w:rsidP="003A0050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/>
              </w:rPr>
              <w:t>商业银行风险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  <w:p w:rsidR="00A74A6C" w:rsidRPr="00B75A41" w:rsidRDefault="00A74A6C" w:rsidP="00A4155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/>
              </w:rPr>
              <w:t>商业银行风险预测</w:t>
            </w:r>
          </w:p>
        </w:tc>
        <w:tc>
          <w:tcPr>
            <w:tcW w:w="1701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A74A6C" w:rsidRPr="00B75A41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A74A6C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74A6C" w:rsidRPr="00B75A41" w:rsidRDefault="00A74A6C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74A6C" w:rsidRPr="00B75A41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74A6C" w:rsidRPr="00965FB8" w:rsidRDefault="00A74A6C" w:rsidP="00A41551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/>
              </w:rPr>
              <w:t>内部控制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  <w:p w:rsidR="00A74A6C" w:rsidRPr="00B75A41" w:rsidRDefault="00A74A6C" w:rsidP="00A4155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965FB8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965FB8">
              <w:rPr>
                <w:rFonts w:ascii="Times New Roman"/>
              </w:rPr>
              <w:t>银行风险管理</w:t>
            </w:r>
          </w:p>
        </w:tc>
        <w:tc>
          <w:tcPr>
            <w:tcW w:w="1701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A74A6C" w:rsidRPr="00B75A41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A74A6C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74A6C" w:rsidRPr="00B75A41" w:rsidRDefault="00A74A6C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74A6C" w:rsidRPr="00B75A41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74A6C" w:rsidRPr="00B75A41" w:rsidRDefault="00A74A6C" w:rsidP="00A4155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A41551">
              <w:rPr>
                <w:rFonts w:ascii="Times New Roman" w:hAnsi="Times New Roman" w:hint="eastAsia"/>
              </w:rPr>
              <w:t>5.</w:t>
            </w:r>
            <w:r w:rsidRPr="00A41551">
              <w:rPr>
                <w:rFonts w:ascii="Times New Roman" w:hAnsi="Times New Roman"/>
              </w:rPr>
              <w:t xml:space="preserve"> </w:t>
            </w:r>
            <w:r w:rsidRPr="00A41551">
              <w:rPr>
                <w:rFonts w:ascii="Times New Roman" w:hAnsi="Times New Roman" w:hint="eastAsia"/>
              </w:rPr>
              <w:t>商业银行</w:t>
            </w:r>
            <w:r w:rsidRPr="00A41551">
              <w:rPr>
                <w:rFonts w:ascii="Times New Roman" w:hAnsi="Times New Roman"/>
              </w:rPr>
              <w:t>信贷风险管理</w:t>
            </w:r>
            <w:r w:rsidRPr="00A41551">
              <w:rPr>
                <w:rFonts w:ascii="Times New Roman" w:hAnsi="Times New Roman" w:hint="eastAsia"/>
              </w:rPr>
              <w:t>实践</w:t>
            </w:r>
            <w:r w:rsidRPr="00A41551">
              <w:rPr>
                <w:rFonts w:ascii="Times New Roman" w:hAnsi="Times New Roman"/>
              </w:rPr>
              <w:t>操作</w:t>
            </w:r>
          </w:p>
        </w:tc>
        <w:tc>
          <w:tcPr>
            <w:tcW w:w="1701" w:type="dxa"/>
            <w:vAlign w:val="center"/>
          </w:tcPr>
          <w:p w:rsidR="00A74A6C" w:rsidRPr="00B75A41" w:rsidRDefault="00A74A6C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A74A6C" w:rsidRPr="00B75A41" w:rsidRDefault="00A74A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A74A6C" w:rsidRPr="00B75A41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</w:tbl>
    <w:p w:rsidR="00A546A2" w:rsidRPr="00B118F1" w:rsidRDefault="00A546A2" w:rsidP="00DB20D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4474" w:rsidRPr="00C10CD5" w:rsidRDefault="000C1E27" w:rsidP="00A860F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 w:rsidR="00A14474">
              <w:rPr>
                <w:rFonts w:hint="eastAsia"/>
                <w:szCs w:val="21"/>
              </w:rPr>
              <w:t>商业银行</w:t>
            </w:r>
            <w:r>
              <w:rPr>
                <w:rFonts w:hint="eastAsia"/>
                <w:szCs w:val="21"/>
              </w:rPr>
              <w:t>的</w:t>
            </w:r>
            <w:r w:rsidR="00A14474">
              <w:rPr>
                <w:rFonts w:hint="eastAsia"/>
                <w:szCs w:val="21"/>
              </w:rPr>
              <w:t>本质、职能、业务及</w:t>
            </w:r>
            <w:r>
              <w:rPr>
                <w:rFonts w:hint="eastAsia"/>
                <w:szCs w:val="21"/>
              </w:rPr>
              <w:t>组织</w:t>
            </w:r>
            <w:r w:rsidR="00A14474">
              <w:rPr>
                <w:rFonts w:hint="eastAsia"/>
                <w:szCs w:val="21"/>
              </w:rPr>
              <w:t>制度等整体性</w:t>
            </w:r>
            <w:r>
              <w:rPr>
                <w:rFonts w:hint="eastAsia"/>
                <w:szCs w:val="21"/>
              </w:rPr>
              <w:t>知识的掌握情况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14474" w:rsidRPr="00C10CD5" w:rsidRDefault="000C1E27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对商业银行开展各类负债、资产业务及风险管理管理方法和技术的掌握情况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14474" w:rsidRPr="00B75A41" w:rsidRDefault="00F82ABC" w:rsidP="00F82ABC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对商业银行各类业务流程及具体实践操作能力的熟悉程度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14474" w:rsidRPr="00EC6812" w:rsidRDefault="00A860F0" w:rsidP="00A860F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对国内外商业银行业务与经营发展动态、监管政策法规等的了解程度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05" w:type="dxa"/>
            <w:vAlign w:val="center"/>
          </w:tcPr>
          <w:p w:rsidR="00A14474" w:rsidRPr="008B4E0D" w:rsidRDefault="00A860F0" w:rsidP="00080DE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运用所学知识解决商业银行经营过程中实际问题的能力</w:t>
            </w:r>
          </w:p>
        </w:tc>
      </w:tr>
    </w:tbl>
    <w:p w:rsidR="00580B0E" w:rsidRPr="00B118F1" w:rsidRDefault="00580B0E" w:rsidP="00DB20D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商业银行各类上机实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训项目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完成</w:t>
            </w:r>
            <w:r w:rsidR="00870DED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汇总记录表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E23E19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，题型有选择题、判断题、简答题、计算题和论述题，考核内容涵盖了所学的基本知识点，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6"/>
    </w:tbl>
    <w:p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11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F6" w:rsidRDefault="00AA6BF6" w:rsidP="007E1E48">
      <w:r>
        <w:separator/>
      </w:r>
    </w:p>
  </w:endnote>
  <w:endnote w:type="continuationSeparator" w:id="0">
    <w:p w:rsidR="00AA6BF6" w:rsidRDefault="00AA6BF6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080DE0" w:rsidRDefault="00080DE0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C5186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80DE0" w:rsidRDefault="00080D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F6" w:rsidRDefault="00AA6BF6" w:rsidP="007E1E48">
      <w:r>
        <w:separator/>
      </w:r>
    </w:p>
  </w:footnote>
  <w:footnote w:type="continuationSeparator" w:id="0">
    <w:p w:rsidR="00AA6BF6" w:rsidRDefault="00AA6BF6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F4F79"/>
    <w:rsid w:val="003F67C5"/>
    <w:rsid w:val="004028AA"/>
    <w:rsid w:val="00424777"/>
    <w:rsid w:val="00433FCF"/>
    <w:rsid w:val="00455E63"/>
    <w:rsid w:val="004665B9"/>
    <w:rsid w:val="00471D9A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60D36"/>
    <w:rsid w:val="006625D0"/>
    <w:rsid w:val="00670894"/>
    <w:rsid w:val="006917A8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A6BF6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BF33A3"/>
    <w:rsid w:val="00C22109"/>
    <w:rsid w:val="00C2216C"/>
    <w:rsid w:val="00C33035"/>
    <w:rsid w:val="00C43ECF"/>
    <w:rsid w:val="00C51861"/>
    <w:rsid w:val="00C52152"/>
    <w:rsid w:val="00C67E6F"/>
    <w:rsid w:val="00C71C8F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B20D1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angdang.com/author/%CB%CE%C7%E5%BB%AA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gdang.com/author/%D6%EC%D0%C2%C8%D8_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CA81-2FF2-4F10-8076-9835F1D1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934</Words>
  <Characters>5326</Characters>
  <Application>Microsoft Office Word</Application>
  <DocSecurity>0</DocSecurity>
  <Lines>44</Lines>
  <Paragraphs>12</Paragraphs>
  <ScaleCrop>false</ScaleCrop>
  <Company>China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140</cp:revision>
  <cp:lastPrinted>2019-03-21T12:39:00Z</cp:lastPrinted>
  <dcterms:created xsi:type="dcterms:W3CDTF">2019-03-01T07:04:00Z</dcterms:created>
  <dcterms:modified xsi:type="dcterms:W3CDTF">2019-12-16T04:22:00Z</dcterms:modified>
</cp:coreProperties>
</file>