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A" w:rsidRDefault="00FD3D2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C245FF">
        <w:rPr>
          <w:rFonts w:ascii="黑体" w:eastAsia="黑体" w:hAnsi="黑体"/>
          <w:sz w:val="30"/>
          <w:szCs w:val="30"/>
        </w:rPr>
        <w:pict>
          <v:rect id="矩形 16" o:spid="_x0000_s1026" style="position:absolute;margin-left:-35.6pt;margin-top:-25pt;width:515.4pt;height:1in;z-index:251671552;mso-position-horizontal-relative:text;mso-position-vertical-relative:text;v-text-anchor:middle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 filled="f" stroked="f">
            <v:textbox>
              <w:txbxContent>
                <w:p w:rsidR="00400EAA" w:rsidRDefault="00FD3D27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国际金融学本科课程教学大纲</w:t>
                  </w:r>
                </w:p>
              </w:txbxContent>
            </v:textbox>
          </v:rect>
        </w:pict>
      </w:r>
    </w:p>
    <w:p w:rsidR="00400EAA" w:rsidRDefault="00FD3D27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C245FF">
        <w:rPr>
          <w:rFonts w:ascii="仿宋_GB2312" w:eastAsia="仿宋_GB2312" w:hAnsi="黑体"/>
          <w:sz w:val="30"/>
          <w:szCs w:val="30"/>
        </w:rPr>
        <w:pict>
          <v:rect id="矩形 18" o:spid="_x0000_s1028" style="position:absolute;margin-left:239.2pt;margin-top:3.2pt;width:216.6pt;height:66.6pt;z-index:251673600;mso-position-horizontal-relative:text;mso-position-vertical-relative:text;v-text-anchor:middle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 filled="f" stroked="f">
            <v:textbox>
              <w:txbxContent>
                <w:p w:rsidR="00400EAA" w:rsidRDefault="00FD3D2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编制人：张敏锋</w:t>
                  </w:r>
                </w:p>
                <w:p w:rsidR="00400EAA" w:rsidRDefault="00FD3D2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1D3A1D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400EAA" w:rsidRDefault="00400EAA"/>
              </w:txbxContent>
            </v:textbox>
          </v:rect>
        </w:pict>
      </w:r>
      <w:r w:rsidR="00C245FF">
        <w:rPr>
          <w:rFonts w:ascii="仿宋_GB2312" w:eastAsia="仿宋_GB2312" w:hAnsi="黑体"/>
          <w:sz w:val="30"/>
          <w:szCs w:val="30"/>
        </w:rPr>
        <w:pict>
          <v:rect id="矩形 17" o:spid="_x0000_s1027" style="position:absolute;margin-left:-6.8pt;margin-top:3.2pt;width:229.8pt;height:66.6pt;z-index:251672576;mso-position-horizontal-relative:text;mso-position-vertical-relative:text;v-text-anchor:middle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 filled="f" stroked="f">
            <v:textbox>
              <w:txbxContent>
                <w:p w:rsidR="00400EAA" w:rsidRDefault="00FD3D2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8E54FE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金融与统计系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:rsidR="00400EAA" w:rsidRDefault="00FD3D2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编制时间：2019年6月30日                  </w:t>
                  </w:r>
                </w:p>
                <w:p w:rsidR="00400EAA" w:rsidRDefault="00400EAA"/>
              </w:txbxContent>
            </v:textbox>
          </v:rect>
        </w:pict>
      </w:r>
    </w:p>
    <w:p w:rsidR="00400EAA" w:rsidRDefault="00400EAA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400EAA" w:rsidRDefault="00FD3D27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400EAA" w:rsidRDefault="00FD3D27" w:rsidP="001D3A1D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400EAA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国际金融学</w:t>
            </w:r>
          </w:p>
        </w:tc>
      </w:tr>
      <w:tr w:rsidR="00400EAA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International Finance</w:t>
            </w:r>
          </w:p>
        </w:tc>
      </w:tr>
      <w:tr w:rsidR="00400EA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18803040300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400EA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400EA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张敏锋</w:t>
            </w:r>
            <w:proofErr w:type="gramEnd"/>
          </w:p>
        </w:tc>
      </w:tr>
      <w:tr w:rsidR="00400EAA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0EA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宏观经济学、金融学</w:t>
            </w:r>
          </w:p>
        </w:tc>
      </w:tr>
      <w:tr w:rsidR="00400EA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陈雨露. 国际金融（第六版）. 北京：中国人民大学出版社，2019.</w:t>
            </w:r>
          </w:p>
        </w:tc>
      </w:tr>
      <w:tr w:rsidR="00400EAA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姜波克，杨长江. 国际金融学（第五版）. 北京：高等教育出版社，2019.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  园. 国际金融实务（第三版）. 北京：高等教育出版社，2017.</w:t>
            </w:r>
          </w:p>
        </w:tc>
      </w:tr>
      <w:tr w:rsidR="00400EA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陈雨露. 国际金融（第六版）. 北京：中国人民大学出版社，2019.</w:t>
            </w:r>
          </w:p>
        </w:tc>
      </w:tr>
    </w:tbl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00EAA" w:rsidRDefault="00400EAA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00EAA" w:rsidRDefault="00FD3D2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:rsidR="00400EAA" w:rsidRDefault="00FD3D27" w:rsidP="001D3A1D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400EA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400EAA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仿宋_GB2312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</w:t>
            </w:r>
            <w:r>
              <w:rPr>
                <w:rFonts w:asciiTheme="minorEastAsia" w:hAnsiTheme="minorEastAsia"/>
                <w:szCs w:val="21"/>
              </w:rPr>
              <w:t>国际金融学科相关的基本概念、国际金融的基本构架与运行方式、国际金融的基本业务等</w:t>
            </w:r>
          </w:p>
        </w:tc>
      </w:tr>
      <w:tr w:rsidR="00400EA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掌握观察和分析国际金融问题的正确方法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培养解决国际金融实际问题的能力</w:t>
            </w:r>
          </w:p>
        </w:tc>
      </w:tr>
      <w:tr w:rsidR="00400EA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树立正确的国际金融意识和</w:t>
            </w:r>
            <w:r>
              <w:rPr>
                <w:rFonts w:asciiTheme="minorEastAsia" w:hAnsiTheme="minorEastAsia" w:hint="eastAsia"/>
                <w:szCs w:val="21"/>
              </w:rPr>
              <w:t>理念，</w:t>
            </w:r>
            <w:r>
              <w:rPr>
                <w:rFonts w:asciiTheme="minorEastAsia" w:hAnsiTheme="minorEastAsia"/>
                <w:szCs w:val="21"/>
              </w:rPr>
              <w:t>提高在国际金融</w:t>
            </w:r>
            <w:r>
              <w:rPr>
                <w:rFonts w:asciiTheme="minorEastAsia" w:hAnsiTheme="minorEastAsia" w:hint="eastAsia"/>
                <w:szCs w:val="21"/>
              </w:rPr>
              <w:t>学科</w:t>
            </w:r>
            <w:r>
              <w:rPr>
                <w:rFonts w:asciiTheme="minorEastAsia" w:hAnsiTheme="minorEastAsia"/>
                <w:szCs w:val="21"/>
              </w:rPr>
              <w:t>的素养</w:t>
            </w:r>
          </w:p>
        </w:tc>
      </w:tr>
      <w:tr w:rsidR="00400EA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400EAA" w:rsidRDefault="00FD3D27" w:rsidP="001D3A1D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400EAA">
        <w:trPr>
          <w:trHeight w:val="454"/>
          <w:jc w:val="center"/>
        </w:trPr>
        <w:tc>
          <w:tcPr>
            <w:tcW w:w="150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400EAA">
        <w:trPr>
          <w:trHeight w:val="1090"/>
          <w:jc w:val="center"/>
        </w:trPr>
        <w:tc>
          <w:tcPr>
            <w:tcW w:w="150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400EAA" w:rsidRDefault="00FD3D27">
            <w:pPr>
              <w:pStyle w:val="2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:rsidR="00400EAA" w:rsidRDefault="00FD3D27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1.1 工具性知识。熟练掌握使用外语阅读国际金融市场的信息；熟练运用现代信息管理技术进行国际金融市场数据的检索、数据处理、设计模型等。</w:t>
            </w:r>
          </w:p>
          <w:p w:rsidR="00400EAA" w:rsidRDefault="00FD3D27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1.2 专业知识。牢固掌握国际金融的基础知识、基本理论与基本技能；特别是外汇与汇率、国际金融市场、外汇衍生品交易和风险管理、国际收支、国际储备、宏观经济政策、汇率制度等方面内容。</w:t>
            </w:r>
          </w:p>
        </w:tc>
      </w:tr>
      <w:tr w:rsidR="00400EAA">
        <w:trPr>
          <w:trHeight w:val="2515"/>
          <w:jc w:val="center"/>
        </w:trPr>
        <w:tc>
          <w:tcPr>
            <w:tcW w:w="150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400EAA" w:rsidRDefault="00FD3D27">
            <w:pPr>
              <w:pStyle w:val="2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400EAA" w:rsidRDefault="00FD3D27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3.1 获取知识的能力。能够掌握有效的学习方法，适应国际金融理论和实践快速发展的客观情况，与时俱进。</w:t>
            </w:r>
          </w:p>
          <w:p w:rsidR="00400EAA" w:rsidRDefault="00FD3D27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3.2 实践应用能力。能够在国际金融实践活动中灵活运用所掌握的专业知识，特别是对汇率走势和国际金融市场产品有深刻见解，为政府、企业、金融机构等部门解决实际问题。</w:t>
            </w:r>
          </w:p>
        </w:tc>
      </w:tr>
      <w:tr w:rsidR="00400EAA">
        <w:trPr>
          <w:trHeight w:val="2002"/>
          <w:jc w:val="center"/>
        </w:trPr>
        <w:tc>
          <w:tcPr>
            <w:tcW w:w="150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ascii="Times New Roman"/>
              </w:rPr>
              <w:t>毕</w:t>
            </w:r>
            <w:r>
              <w:rPr>
                <w:rFonts w:ascii="宋体" w:eastAsia="宋体" w:hAnsi="宋体" w:hint="eastAsia"/>
                <w:szCs w:val="21"/>
              </w:rPr>
              <w:t>业要求2：素质要求</w:t>
            </w:r>
          </w:p>
        </w:tc>
        <w:tc>
          <w:tcPr>
            <w:tcW w:w="5670" w:type="dxa"/>
            <w:vAlign w:val="center"/>
          </w:tcPr>
          <w:p w:rsidR="00400EAA" w:rsidRDefault="00FD3D27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2.1 思想道德素质 遵守宪法、法律和法规，遵守公民道德规范。培养良好的职业操守和职业道德，具备社会责任感和人文关怀意识。</w:t>
            </w:r>
          </w:p>
          <w:p w:rsidR="00400EAA" w:rsidRDefault="00FD3D27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2.2 专业素质。具有金融专业思维和较强的学科意识。熟悉国家有关国际金融的方针、政策和法律法规，树立正确的国际金融意识和理念。</w:t>
            </w:r>
          </w:p>
        </w:tc>
      </w:tr>
    </w:tbl>
    <w:p w:rsidR="00400EAA" w:rsidRDefault="00FD3D27" w:rsidP="001D3A1D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400EAA" w:rsidRPr="00392743" w:rsidRDefault="00FD3D27" w:rsidP="0039274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 国际金融学概论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了解国际金融学的理论发展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掌握国际金融学的主要研究对象</w:t>
            </w:r>
          </w:p>
          <w:p w:rsidR="00400EAA" w:rsidRDefault="00FD3D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熟悉国际金融学的主要业务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1.理解国际金融学的基本框架和主要内容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2.结合实际阐释学习国际金融学的价值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1.国际金融学的理论框架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2.国际金融学学习目标</w:t>
            </w:r>
          </w:p>
        </w:tc>
      </w:tr>
      <w:tr w:rsidR="00400EAA">
        <w:trPr>
          <w:trHeight w:val="2080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400EAA" w:rsidRPr="00392743" w:rsidRDefault="00FD3D27" w:rsidP="0039274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外汇与外汇汇率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掌握外汇含义和汇率标价法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了解汇率的主要分类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掌握汇率的决定与变动及其经济影响</w:t>
            </w:r>
          </w:p>
          <w:p w:rsidR="00400EAA" w:rsidRDefault="00FD3D2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熟悉人民币汇率制度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1.汇率标价法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2.汇率套算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3.纸币条件下汇率波动的影响因素及其经济影响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4.人民币汇率制度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1.不同交易者的买入价和卖出价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2.实务中汇率走势的影响因素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3.人民币汇率制度改革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外汇市场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了解外汇市场的起源、功能和特点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熟悉外汇市场结构</w:t>
            </w:r>
          </w:p>
          <w:p w:rsidR="00400EAA" w:rsidRDefault="00FD3D2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掌握外汇市场</w:t>
            </w:r>
            <w:proofErr w:type="gramStart"/>
            <w:r>
              <w:rPr>
                <w:rFonts w:hint="eastAsia"/>
                <w:szCs w:val="21"/>
              </w:rPr>
              <w:t>交易交易</w:t>
            </w:r>
            <w:proofErr w:type="gramEnd"/>
            <w:r>
              <w:rPr>
                <w:rFonts w:hint="eastAsia"/>
                <w:szCs w:val="21"/>
              </w:rPr>
              <w:t>活动和产品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1.全球外汇市场的特征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2.即期、远期和掉期外汇产品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1.即期、远期和掉期外汇产品的联系与区别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2.掌握全球和我国外汇市场发展情况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外汇衍生产品市场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熟悉外汇衍生产品的特征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掌握远期、期货、期权、互换等主要外汇衍生产品的交易机制和交易方法</w:t>
            </w:r>
          </w:p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了解外汇衍生产品市场的现状和未来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1.远期外汇交易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2.期货外汇交易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3.期权外汇交易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4.互换外汇交易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1.利率平价定理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2.期货保证金运作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3.看涨期权和看跌期权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4.互换利率计算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离岸金融市场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熟悉离岸金融市场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掌握欧洲货币市场的产生、特点和影响</w:t>
            </w:r>
          </w:p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了解欧洲债券市场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1.离岸金融市场产生和主要产品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2.离岸金融市场的价值和作用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1.离岸市场与在岸市场的区别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2.我国如何发展离岸市场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国际资产投资组合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了解国际金融市场一体化的收益和风险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熟悉国际金融市场上的机构投资者</w:t>
            </w:r>
          </w:p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掌握国际组合投资的原理和渠道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1.国际组合投资的基本原理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2.国际组合投资与金融市场一体化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1.如何进行国际组合投资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2.金融市场一体化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外汇风险管理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熟悉外汇风险种类及其成因</w:t>
            </w:r>
          </w:p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熟悉汇率预测技术</w:t>
            </w:r>
          </w:p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熟悉评估外汇风险的操作技术与步骤</w:t>
            </w:r>
          </w:p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掌握常用外汇风险管理方法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1.外汇风险种类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2.外汇风险计量和预测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3.外汇风险管理办法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1.不同外汇风险的区别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2.套期保值管理外汇风险</w:t>
            </w:r>
          </w:p>
        </w:tc>
      </w:tr>
      <w:tr w:rsidR="00400EAA" w:rsidTr="00392743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400EAA" w:rsidRDefault="00FD3D27" w:rsidP="0039274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跨国银行业务与经营</w:t>
            </w:r>
          </w:p>
        </w:tc>
        <w:tc>
          <w:tcPr>
            <w:tcW w:w="2742" w:type="dxa"/>
            <w:vAlign w:val="center"/>
          </w:tcPr>
          <w:p w:rsidR="00400EAA" w:rsidRDefault="00FD3D27" w:rsidP="0039274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了解跨国银行兴起的原因和三次浪潮</w:t>
            </w:r>
          </w:p>
          <w:p w:rsidR="00400EAA" w:rsidRDefault="00FD3D27" w:rsidP="0039274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掌握跨国银行的组织构架和主要业务</w:t>
            </w:r>
          </w:p>
          <w:p w:rsidR="00400EAA" w:rsidRDefault="00FD3D27" w:rsidP="0039274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掌握跨国银行设立的模式及其决定因素</w:t>
            </w:r>
          </w:p>
          <w:p w:rsidR="00400EAA" w:rsidRDefault="00FD3D27" w:rsidP="00392743">
            <w:pPr>
              <w:widowControl/>
              <w:tabs>
                <w:tab w:val="left" w:pos="1701"/>
              </w:tabs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了解我国跨国银行发展的特点</w:t>
            </w:r>
          </w:p>
        </w:tc>
        <w:tc>
          <w:tcPr>
            <w:tcW w:w="2838" w:type="dxa"/>
            <w:vAlign w:val="center"/>
          </w:tcPr>
          <w:p w:rsidR="00400EAA" w:rsidRDefault="00FD3D27" w:rsidP="0039274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1.</w:t>
            </w:r>
            <w:r>
              <w:rPr>
                <w:rFonts w:hint="eastAsia"/>
                <w:szCs w:val="21"/>
              </w:rPr>
              <w:t>跨国银行的组织构架和主要业务</w:t>
            </w:r>
          </w:p>
          <w:p w:rsidR="00400EAA" w:rsidRDefault="00FD3D27" w:rsidP="0039274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2.</w:t>
            </w:r>
            <w:r>
              <w:rPr>
                <w:rFonts w:hint="eastAsia"/>
                <w:szCs w:val="21"/>
              </w:rPr>
              <w:t>跨国银行的设立</w:t>
            </w:r>
          </w:p>
        </w:tc>
        <w:tc>
          <w:tcPr>
            <w:tcW w:w="1975" w:type="dxa"/>
            <w:vAlign w:val="center"/>
          </w:tcPr>
          <w:p w:rsidR="00400EAA" w:rsidRDefault="00FD3D27" w:rsidP="0039274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1.</w:t>
            </w:r>
            <w:r>
              <w:rPr>
                <w:rFonts w:hint="eastAsia"/>
                <w:szCs w:val="21"/>
              </w:rPr>
              <w:t>跨国银行与国内银行的区别与联系</w:t>
            </w:r>
          </w:p>
          <w:p w:rsidR="00400EAA" w:rsidRDefault="00FD3D27" w:rsidP="00392743">
            <w:pPr>
              <w:widowControl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2.</w:t>
            </w:r>
            <w:r>
              <w:rPr>
                <w:rFonts w:hint="eastAsia"/>
                <w:szCs w:val="21"/>
              </w:rPr>
              <w:t>我国商业银行如何国际化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国际收支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掌握国际收支构成和国际收支平衡表编制方法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熟悉收支平衡表内容，学习国际收支项目分析</w:t>
            </w:r>
          </w:p>
          <w:p w:rsidR="00400EAA" w:rsidRDefault="00FD3D2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熟悉主要国际收支理论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1.国际收支及其平衡表构成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2.国际收齐平衡表编制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3.国际收支平衡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表分析</w:t>
            </w:r>
            <w:proofErr w:type="gramEnd"/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1.国际收支及其平衡表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2.我国国际收支分析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开放经济下的宏观经济政策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理解开放条件下内外均衡的关系及政策搭配的重要性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掌握开放条件下的宏观经济均衡分析框架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了解我国的宏观经济政策实践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1.IS-LM-BP模型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2.开放经济的宏观经济政策工具及其政策搭配</w:t>
            </w:r>
          </w:p>
          <w:p w:rsidR="00400EAA" w:rsidRDefault="00FD3D27" w:rsidP="003927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3.我国开放条件下的宏观经济政策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1.开放经济的宏观经济政策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2.IS-LM-BP模型的应用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 汇率制度选择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掌握比较固定汇率制度和浮动汇率制度的利弊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熟悉</w:t>
            </w:r>
            <w:proofErr w:type="gramStart"/>
            <w:r>
              <w:rPr>
                <w:rFonts w:hint="eastAsia"/>
                <w:szCs w:val="21"/>
              </w:rPr>
              <w:t>最适货币</w:t>
            </w:r>
            <w:proofErr w:type="gramEnd"/>
            <w:r>
              <w:rPr>
                <w:rFonts w:hint="eastAsia"/>
                <w:szCs w:val="21"/>
              </w:rPr>
              <w:t>区理论与实践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了解国际货币体系演进历史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了解各国在汇率制度选择上的其他探索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固定汇率制度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浮动汇率制度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我国的汇率制度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固定汇率制度和浮动汇率制度的利弊比较</w:t>
            </w:r>
          </w:p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我国的汇率制度改革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 国际资本流动与金融稳定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掌握不同期限国际资本流动对相关国家的影响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掌握国际资本流动影响金融稳定的主要机制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掌握组合使用宏观经济政策工具控制国际资本流动的不利影响</w:t>
            </w:r>
          </w:p>
          <w:p w:rsidR="00400EAA" w:rsidRDefault="00FD3D2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了解国际资本流动的发展过程和近期趋势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tabs>
                <w:tab w:val="center" w:pos="1311"/>
              </w:tabs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1.国际资本流动与金融稳定</w:t>
            </w:r>
          </w:p>
          <w:p w:rsidR="00400EAA" w:rsidRDefault="00FD3D27">
            <w:pPr>
              <w:tabs>
                <w:tab w:val="center" w:pos="1311"/>
              </w:tabs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2.国际资本流动的不利影响的调控措施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1.短期和中长期国际资本流动的不同影响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2.宏观经济调控与国际资本流动</w:t>
            </w:r>
          </w:p>
        </w:tc>
      </w:tr>
      <w:tr w:rsidR="00400EAA">
        <w:trPr>
          <w:trHeight w:val="454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 金融危机的防范与管理</w:t>
            </w:r>
          </w:p>
        </w:tc>
        <w:tc>
          <w:tcPr>
            <w:tcW w:w="2742" w:type="dxa"/>
            <w:vAlign w:val="center"/>
          </w:tcPr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了解全球范围内的金融危机发生情况及主要案例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掌握金融危机发生发展机制的主流理论</w:t>
            </w:r>
          </w:p>
          <w:p w:rsidR="00400EAA" w:rsidRDefault="00FD3D2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了解国际经济协调的主要平台</w:t>
            </w:r>
          </w:p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理解国际协调平台的作用</w:t>
            </w:r>
          </w:p>
        </w:tc>
        <w:tc>
          <w:tcPr>
            <w:tcW w:w="2838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1.历次国际金融危机及其教训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2.金融危机理论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3.国际经济协调平台建设及如何防范金融危机的措施</w:t>
            </w:r>
          </w:p>
        </w:tc>
        <w:tc>
          <w:tcPr>
            <w:tcW w:w="1975" w:type="dxa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1.金融危机的解释</w:t>
            </w:r>
          </w:p>
          <w:p w:rsidR="00400EAA" w:rsidRDefault="00FD3D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2.国际经济协调平台与金融危机防范</w:t>
            </w:r>
          </w:p>
        </w:tc>
      </w:tr>
    </w:tbl>
    <w:p w:rsidR="00400EAA" w:rsidRDefault="00FD3D27" w:rsidP="001D3A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400EAA">
        <w:trPr>
          <w:trHeight w:val="454"/>
          <w:jc w:val="center"/>
        </w:trPr>
        <w:tc>
          <w:tcPr>
            <w:tcW w:w="67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 w:rsidP="0039274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 国际金融学概论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全球化与国家金融学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变革中的国际金融市场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为什么要学好国际金融学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 w:rsidP="0039274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外汇与外汇汇率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外汇汇率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第三节　汇率的经济分析I——汇率决定与变动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第四节　汇率的经济分析Ⅱ——汇率变化的经济影响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第五节　人民币汇率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外汇市场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外汇市场概述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外汇市场环境与结构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第三节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外汇市场交易活动与交易产品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中国的外汇市场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外汇衍生产品市场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外汇衍生交易的特征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外汇衍生产品的交易机制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第三节　外汇衍生产品市场的现状及发展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离岸金融市场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　欧洲货币市场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讲授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　欧洲债券市场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国际资产投资组合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第一节　</w:t>
            </w:r>
            <w:r>
              <w:rPr>
                <w:rFonts w:hint="eastAsia"/>
                <w:szCs w:val="21"/>
              </w:rPr>
              <w:t>国际组组合投资概览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国际组合投资与金融市场一体化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外汇风险管理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外汇风险概述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汇率预测技术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外汇风险计量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外汇风险管理技术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跨国银行业务与经营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第一节　</w:t>
            </w:r>
            <w:r>
              <w:rPr>
                <w:rFonts w:hint="eastAsia"/>
                <w:szCs w:val="21"/>
              </w:rPr>
              <w:t>跨国银行的产生与发展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跨国银行的组织架构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 xml:space="preserve">节　</w:t>
            </w:r>
            <w:r>
              <w:rPr>
                <w:rFonts w:hint="eastAsia"/>
                <w:szCs w:val="21"/>
              </w:rPr>
              <w:t>跨国银行的业务与监督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615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我国跨国银行的发展现状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国际收支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国际收支与国际收支平衡表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第二节　</w:t>
            </w:r>
            <w:r>
              <w:rPr>
                <w:rFonts w:hint="eastAsia"/>
                <w:szCs w:val="21"/>
              </w:rPr>
              <w:t>国际收支项目分析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　国际收支</w:t>
            </w:r>
            <w:r>
              <w:rPr>
                <w:rFonts w:hint="eastAsia"/>
                <w:szCs w:val="21"/>
              </w:rPr>
              <w:t>理论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开放经济下的宏观经济政策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开放经济的宏观分析框架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内外均衡冲突与政策搭配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固定和浮动汇率制下的宏观经济政策效应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 汇率制度选择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第一节　</w:t>
            </w:r>
            <w:r>
              <w:rPr>
                <w:rFonts w:hint="eastAsia"/>
                <w:szCs w:val="21"/>
              </w:rPr>
              <w:t>国际货币体系沿革：</w:t>
            </w:r>
            <w:r>
              <w:rPr>
                <w:szCs w:val="21"/>
              </w:rPr>
              <w:t>固定汇率</w:t>
            </w:r>
            <w:r>
              <w:rPr>
                <w:rFonts w:hint="eastAsia"/>
                <w:szCs w:val="21"/>
              </w:rPr>
              <w:t>制</w:t>
            </w:r>
            <w:r>
              <w:rPr>
                <w:szCs w:val="21"/>
              </w:rPr>
              <w:t>和浮动汇率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第二节　</w:t>
            </w:r>
            <w:proofErr w:type="gramStart"/>
            <w:r>
              <w:rPr>
                <w:szCs w:val="21"/>
              </w:rPr>
              <w:t>最适货币</w:t>
            </w:r>
            <w:proofErr w:type="gramEnd"/>
            <w:r>
              <w:rPr>
                <w:szCs w:val="21"/>
              </w:rPr>
              <w:t>区的理论与实践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第三节　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“美元化”道路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第四节　汇率目标区方案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 国际资本流动与金融稳定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第一节　国际资本流动概述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　中长期国际资本流动</w:t>
            </w:r>
            <w:r>
              <w:rPr>
                <w:rFonts w:hint="eastAsia"/>
                <w:szCs w:val="21"/>
              </w:rPr>
              <w:t>与金融稳定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第三节　短期国际资本流动与</w:t>
            </w:r>
            <w:r>
              <w:rPr>
                <w:rFonts w:hint="eastAsia"/>
                <w:szCs w:val="21"/>
              </w:rPr>
              <w:t>金融稳定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第四节　</w:t>
            </w:r>
            <w:r>
              <w:rPr>
                <w:rFonts w:hint="eastAsia"/>
                <w:szCs w:val="21"/>
              </w:rPr>
              <w:t>国际资本流动影响金融稳定的主要机制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第五节　</w:t>
            </w:r>
            <w:r>
              <w:rPr>
                <w:rFonts w:hint="eastAsia"/>
                <w:szCs w:val="21"/>
              </w:rPr>
              <w:t>控制国际资本流动的不利影响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400EAA" w:rsidRDefault="00FD3D2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 金融危机的防范与管理</w:t>
            </w: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全球视角下的金融危机概览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金融危机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理论</w:t>
            </w:r>
            <w:r>
              <w:rPr>
                <w:rFonts w:hint="eastAsia"/>
                <w:szCs w:val="21"/>
              </w:rPr>
              <w:t>解释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400EA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9" w:name="_Toc4406549"/>
          </w:p>
        </w:tc>
        <w:tc>
          <w:tcPr>
            <w:tcW w:w="1588" w:type="dxa"/>
            <w:vMerge/>
            <w:vAlign w:val="center"/>
          </w:tcPr>
          <w:p w:rsidR="00400EAA" w:rsidRDefault="00400EA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00EAA" w:rsidRDefault="00FD3D27"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第三节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国际经济政策协调</w:t>
            </w:r>
            <w:r>
              <w:rPr>
                <w:rFonts w:hint="eastAsia"/>
                <w:szCs w:val="21"/>
              </w:rPr>
              <w:t>和主要协调平台</w:t>
            </w:r>
          </w:p>
        </w:tc>
        <w:tc>
          <w:tcPr>
            <w:tcW w:w="170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案例分析</w:t>
            </w:r>
          </w:p>
        </w:tc>
        <w:tc>
          <w:tcPr>
            <w:tcW w:w="70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240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1、3</w:t>
            </w:r>
          </w:p>
        </w:tc>
      </w:tr>
    </w:tbl>
    <w:p w:rsidR="00400EAA" w:rsidRDefault="00FD3D27" w:rsidP="001D3A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400EAA">
        <w:trPr>
          <w:trHeight w:val="454"/>
          <w:jc w:val="center"/>
        </w:trPr>
        <w:tc>
          <w:tcPr>
            <w:tcW w:w="197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400EAA">
        <w:trPr>
          <w:trHeight w:val="454"/>
          <w:jc w:val="center"/>
        </w:trPr>
        <w:tc>
          <w:tcPr>
            <w:tcW w:w="197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国际金融学理论知识和方法的理解和掌握情况</w:t>
            </w:r>
          </w:p>
        </w:tc>
      </w:tr>
      <w:tr w:rsidR="00400EAA">
        <w:trPr>
          <w:trHeight w:val="454"/>
          <w:jc w:val="center"/>
        </w:trPr>
        <w:tc>
          <w:tcPr>
            <w:tcW w:w="197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400EAA" w:rsidRDefault="00FD3D27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运用国际金融学理论知识和方法解决实务问题的能力</w:t>
            </w:r>
          </w:p>
        </w:tc>
      </w:tr>
      <w:tr w:rsidR="00400EAA">
        <w:trPr>
          <w:trHeight w:val="454"/>
          <w:jc w:val="center"/>
        </w:trPr>
        <w:tc>
          <w:tcPr>
            <w:tcW w:w="1979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400EAA" w:rsidRDefault="00392743" w:rsidP="00392743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国际金融意识和</w:t>
            </w:r>
            <w:r>
              <w:rPr>
                <w:rFonts w:asciiTheme="minorEastAsia" w:hAnsiTheme="minorEastAsia" w:hint="eastAsia"/>
                <w:szCs w:val="21"/>
              </w:rPr>
              <w:t>理念，</w:t>
            </w:r>
            <w:r w:rsidR="00FD3D27">
              <w:rPr>
                <w:rFonts w:ascii="宋体" w:eastAsia="宋体" w:hAnsi="宋体" w:cs="宋体" w:hint="eastAsia"/>
                <w:bCs/>
                <w:szCs w:val="21"/>
              </w:rPr>
              <w:t>有关国际金融学前沿问题及相关实践的了解情况</w:t>
            </w:r>
          </w:p>
        </w:tc>
      </w:tr>
    </w:tbl>
    <w:p w:rsidR="00400EAA" w:rsidRDefault="00FD3D27" w:rsidP="001D3A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400EAA">
        <w:trPr>
          <w:trHeight w:val="454"/>
          <w:jc w:val="center"/>
        </w:trPr>
        <w:tc>
          <w:tcPr>
            <w:tcW w:w="127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400EAA">
        <w:trPr>
          <w:trHeight w:val="454"/>
          <w:jc w:val="center"/>
        </w:trPr>
        <w:tc>
          <w:tcPr>
            <w:tcW w:w="127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400EAA">
        <w:trPr>
          <w:trHeight w:val="454"/>
          <w:jc w:val="center"/>
        </w:trPr>
        <w:tc>
          <w:tcPr>
            <w:tcW w:w="127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400EAA">
        <w:trPr>
          <w:trHeight w:val="693"/>
          <w:jc w:val="center"/>
        </w:trPr>
        <w:tc>
          <w:tcPr>
            <w:tcW w:w="1271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400EAA" w:rsidRDefault="00FD3D27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选择题</w:t>
            </w:r>
            <w:r>
              <w:rPr>
                <w:rFonts w:ascii="Times New Roman" w:eastAsia="宋体" w:hAnsi="Times New Roman" w:cs="Times New Roman"/>
                <w:szCs w:val="21"/>
              </w:rPr>
              <w:t>、判断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、简答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业务题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7"/>
    </w:tbl>
    <w:p w:rsidR="00400EAA" w:rsidRDefault="00400EAA">
      <w:pPr>
        <w:jc w:val="left"/>
        <w:outlineLvl w:val="0"/>
        <w:rPr>
          <w:rFonts w:ascii="宋体" w:eastAsia="宋体" w:hAnsi="宋体"/>
          <w:szCs w:val="21"/>
        </w:rPr>
      </w:pPr>
    </w:p>
    <w:sectPr w:rsidR="00400EAA" w:rsidSect="00400EAA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F" w:rsidRDefault="00C245FF" w:rsidP="00400EAA">
      <w:r>
        <w:separator/>
      </w:r>
    </w:p>
  </w:endnote>
  <w:endnote w:type="continuationSeparator" w:id="0">
    <w:p w:rsidR="00C245FF" w:rsidRDefault="00C245FF" w:rsidP="004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400EAA" w:rsidRDefault="00400EAA">
        <w:pPr>
          <w:pStyle w:val="a6"/>
          <w:jc w:val="center"/>
        </w:pPr>
        <w:r>
          <w:rPr>
            <w:lang w:val="zh-CN"/>
          </w:rPr>
          <w:fldChar w:fldCharType="begin"/>
        </w:r>
        <w:r w:rsidR="00FD3D2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8E54FE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400EAA" w:rsidRDefault="00400E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F" w:rsidRDefault="00C245FF" w:rsidP="00400EAA">
      <w:r>
        <w:separator/>
      </w:r>
    </w:p>
  </w:footnote>
  <w:footnote w:type="continuationSeparator" w:id="0">
    <w:p w:rsidR="00C245FF" w:rsidRDefault="00C245FF" w:rsidP="0040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3A1D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2743"/>
    <w:rsid w:val="003C4383"/>
    <w:rsid w:val="003C4AF6"/>
    <w:rsid w:val="003E0CAC"/>
    <w:rsid w:val="003E6EC8"/>
    <w:rsid w:val="003F67C5"/>
    <w:rsid w:val="00400EAA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080A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E54FE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3261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245FF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3D27"/>
    <w:rsid w:val="00FD453B"/>
    <w:rsid w:val="00FD509B"/>
    <w:rsid w:val="00FD79FC"/>
    <w:rsid w:val="00FE1E55"/>
    <w:rsid w:val="00FE391F"/>
    <w:rsid w:val="00FF5B65"/>
    <w:rsid w:val="013D2024"/>
    <w:rsid w:val="01650A1D"/>
    <w:rsid w:val="01E4062B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5F387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6807C6"/>
    <w:rsid w:val="14AD037D"/>
    <w:rsid w:val="156C1A99"/>
    <w:rsid w:val="16A122DA"/>
    <w:rsid w:val="17660CA4"/>
    <w:rsid w:val="177F4089"/>
    <w:rsid w:val="184C6E85"/>
    <w:rsid w:val="194E43DF"/>
    <w:rsid w:val="1AD231F8"/>
    <w:rsid w:val="1B0C6CA8"/>
    <w:rsid w:val="1B7C43A1"/>
    <w:rsid w:val="1D512DFE"/>
    <w:rsid w:val="1D855533"/>
    <w:rsid w:val="1E8F757E"/>
    <w:rsid w:val="1EA31048"/>
    <w:rsid w:val="1EB16949"/>
    <w:rsid w:val="1EC769C9"/>
    <w:rsid w:val="1ECF4B45"/>
    <w:rsid w:val="1F4339E6"/>
    <w:rsid w:val="20C21853"/>
    <w:rsid w:val="20CD75DC"/>
    <w:rsid w:val="216B3D03"/>
    <w:rsid w:val="225A4896"/>
    <w:rsid w:val="22D55212"/>
    <w:rsid w:val="235210BF"/>
    <w:rsid w:val="239D63F1"/>
    <w:rsid w:val="25734AC0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163222"/>
    <w:rsid w:val="2D641A44"/>
    <w:rsid w:val="2DA07322"/>
    <w:rsid w:val="2DD45898"/>
    <w:rsid w:val="2E8670D0"/>
    <w:rsid w:val="2F1D27A7"/>
    <w:rsid w:val="2F252182"/>
    <w:rsid w:val="2F505C1A"/>
    <w:rsid w:val="300268F5"/>
    <w:rsid w:val="319114AC"/>
    <w:rsid w:val="32203C92"/>
    <w:rsid w:val="3265646C"/>
    <w:rsid w:val="32AC6093"/>
    <w:rsid w:val="32C61641"/>
    <w:rsid w:val="332B1021"/>
    <w:rsid w:val="334525B8"/>
    <w:rsid w:val="33A34F66"/>
    <w:rsid w:val="34AD76FF"/>
    <w:rsid w:val="353D7DCC"/>
    <w:rsid w:val="35C063F0"/>
    <w:rsid w:val="36B949F4"/>
    <w:rsid w:val="37273A25"/>
    <w:rsid w:val="37937B36"/>
    <w:rsid w:val="37B21BD5"/>
    <w:rsid w:val="3814502E"/>
    <w:rsid w:val="38BE4FFC"/>
    <w:rsid w:val="39710CE1"/>
    <w:rsid w:val="3D6019E8"/>
    <w:rsid w:val="3E547CBC"/>
    <w:rsid w:val="3E8F7155"/>
    <w:rsid w:val="3EEB1042"/>
    <w:rsid w:val="3F225D50"/>
    <w:rsid w:val="406E39AF"/>
    <w:rsid w:val="41576BB8"/>
    <w:rsid w:val="42335E20"/>
    <w:rsid w:val="461E0DA3"/>
    <w:rsid w:val="47662BB4"/>
    <w:rsid w:val="47854B91"/>
    <w:rsid w:val="482875B3"/>
    <w:rsid w:val="48465CD4"/>
    <w:rsid w:val="495C2D6C"/>
    <w:rsid w:val="49B23A45"/>
    <w:rsid w:val="49BD37AB"/>
    <w:rsid w:val="4A2625F4"/>
    <w:rsid w:val="4B523F29"/>
    <w:rsid w:val="4BB7126F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3C928E6"/>
    <w:rsid w:val="54C4589C"/>
    <w:rsid w:val="55E31C2B"/>
    <w:rsid w:val="56B66EF3"/>
    <w:rsid w:val="56C20484"/>
    <w:rsid w:val="570E700F"/>
    <w:rsid w:val="578C1B7B"/>
    <w:rsid w:val="5A772811"/>
    <w:rsid w:val="5AF92ADB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A1944"/>
    <w:rsid w:val="654B08D8"/>
    <w:rsid w:val="66E47422"/>
    <w:rsid w:val="670E220E"/>
    <w:rsid w:val="67B447F4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6DB63DCA"/>
    <w:rsid w:val="6DC02EAC"/>
    <w:rsid w:val="70AF092F"/>
    <w:rsid w:val="72177393"/>
    <w:rsid w:val="722A37C9"/>
    <w:rsid w:val="72360152"/>
    <w:rsid w:val="723854D8"/>
    <w:rsid w:val="72432402"/>
    <w:rsid w:val="72921C93"/>
    <w:rsid w:val="72D04F2C"/>
    <w:rsid w:val="732A502D"/>
    <w:rsid w:val="73B14045"/>
    <w:rsid w:val="746A7AB4"/>
    <w:rsid w:val="751303C2"/>
    <w:rsid w:val="75501D93"/>
    <w:rsid w:val="75735C61"/>
    <w:rsid w:val="76175655"/>
    <w:rsid w:val="764E2749"/>
    <w:rsid w:val="76797A4B"/>
    <w:rsid w:val="77315EF9"/>
    <w:rsid w:val="790274B8"/>
    <w:rsid w:val="798E1F8F"/>
    <w:rsid w:val="7A4E6F05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00EAA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00EAA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00EA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0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0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400EAA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400EAA"/>
    <w:rPr>
      <w:b/>
      <w:bCs/>
    </w:rPr>
  </w:style>
  <w:style w:type="table" w:styleId="a9">
    <w:name w:val="Table Grid"/>
    <w:basedOn w:val="a1"/>
    <w:uiPriority w:val="39"/>
    <w:qFormat/>
    <w:rsid w:val="00400E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sid w:val="00400EA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0EAA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400EA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00E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00EAA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00EAA"/>
  </w:style>
  <w:style w:type="character" w:customStyle="1" w:styleId="Char4">
    <w:name w:val="批注主题 Char"/>
    <w:basedOn w:val="Char0"/>
    <w:link w:val="a8"/>
    <w:uiPriority w:val="99"/>
    <w:semiHidden/>
    <w:qFormat/>
    <w:rsid w:val="00400EAA"/>
    <w:rPr>
      <w:b/>
      <w:bCs/>
    </w:rPr>
  </w:style>
  <w:style w:type="paragraph" w:styleId="ac">
    <w:name w:val="List Paragraph"/>
    <w:basedOn w:val="a"/>
    <w:uiPriority w:val="34"/>
    <w:qFormat/>
    <w:rsid w:val="00400EA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00EAA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400EAA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0FA59-752F-448E-9D5A-6ED0FA21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782</Words>
  <Characters>4460</Characters>
  <Application>Microsoft Office Word</Application>
  <DocSecurity>0</DocSecurity>
  <Lines>37</Lines>
  <Paragraphs>10</Paragraphs>
  <ScaleCrop>false</ScaleCrop>
  <Company>China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96</cp:revision>
  <cp:lastPrinted>2019-03-21T12:39:00Z</cp:lastPrinted>
  <dcterms:created xsi:type="dcterms:W3CDTF">2019-03-01T07:04:00Z</dcterms:created>
  <dcterms:modified xsi:type="dcterms:W3CDTF">2019-12-16T05:09:00Z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